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7694"/>
        <w:gridCol w:w="7694"/>
      </w:tblGrid>
      <w:tr w:rsidR="0027188C" w14:paraId="57F936A7" w14:textId="77777777" w:rsidTr="004202A4">
        <w:trPr>
          <w:trHeight w:val="848"/>
          <w:tblHeader/>
        </w:trPr>
        <w:tc>
          <w:tcPr>
            <w:tcW w:w="2500" w:type="pct"/>
            <w:shd w:val="clear" w:color="auto" w:fill="A5C9EB" w:themeFill="text2" w:themeFillTint="40"/>
          </w:tcPr>
          <w:p w14:paraId="650B7DB7" w14:textId="77777777" w:rsidR="0027188C" w:rsidRPr="00413DD3" w:rsidRDefault="0027188C" w:rsidP="008F22D6">
            <w:pPr>
              <w:jc w:val="center"/>
              <w:rPr>
                <w:b/>
                <w:bCs/>
                <w:sz w:val="28"/>
                <w:szCs w:val="28"/>
              </w:rPr>
            </w:pPr>
            <w:r w:rsidRPr="00413DD3">
              <w:rPr>
                <w:b/>
                <w:bCs/>
                <w:sz w:val="28"/>
                <w:szCs w:val="28"/>
              </w:rPr>
              <w:t>CATEGORY &amp; QUESTION</w:t>
            </w:r>
          </w:p>
          <w:p w14:paraId="04E2C667" w14:textId="77777777" w:rsidR="0027188C" w:rsidRPr="00413DD3" w:rsidRDefault="0027188C" w:rsidP="00413DD3">
            <w:pPr>
              <w:jc w:val="center"/>
              <w:rPr>
                <w:b/>
                <w:bCs/>
                <w:sz w:val="28"/>
                <w:szCs w:val="28"/>
              </w:rPr>
            </w:pPr>
            <w:r w:rsidRPr="00413DD3">
              <w:rPr>
                <w:b/>
                <w:bCs/>
                <w:sz w:val="28"/>
                <w:szCs w:val="28"/>
              </w:rPr>
              <w:t>(Categories are A-Z)</w:t>
            </w:r>
          </w:p>
        </w:tc>
        <w:tc>
          <w:tcPr>
            <w:tcW w:w="2500" w:type="pct"/>
            <w:shd w:val="clear" w:color="auto" w:fill="A5C9EB" w:themeFill="text2" w:themeFillTint="40"/>
          </w:tcPr>
          <w:p w14:paraId="0AE206A2" w14:textId="77777777" w:rsidR="0027188C" w:rsidRPr="008F22D6" w:rsidRDefault="0027188C" w:rsidP="008F22D6">
            <w:pPr>
              <w:jc w:val="center"/>
              <w:rPr>
                <w:rFonts w:cs="Calibri"/>
                <w:b/>
                <w:bCs/>
                <w:sz w:val="28"/>
                <w:szCs w:val="28"/>
              </w:rPr>
            </w:pPr>
            <w:r w:rsidRPr="008F22D6">
              <w:rPr>
                <w:rFonts w:cs="Calibri"/>
                <w:b/>
                <w:bCs/>
                <w:sz w:val="28"/>
                <w:szCs w:val="28"/>
              </w:rPr>
              <w:t>ANSWER</w:t>
            </w:r>
          </w:p>
        </w:tc>
      </w:tr>
      <w:tr w:rsidR="0027188C" w14:paraId="6DCB6FA3" w14:textId="77777777" w:rsidTr="0027188C">
        <w:tc>
          <w:tcPr>
            <w:tcW w:w="2500" w:type="pct"/>
          </w:tcPr>
          <w:p w14:paraId="0EB28C4C" w14:textId="77777777" w:rsidR="0027188C" w:rsidRDefault="0027188C" w:rsidP="00C42ABB">
            <w:r>
              <w:t>AGENCIES</w:t>
            </w:r>
          </w:p>
          <w:p w14:paraId="72BCFB1A" w14:textId="693049AD" w:rsidR="0027188C" w:rsidRPr="00FD06D6" w:rsidRDefault="0027188C" w:rsidP="00FD06D6">
            <w:r w:rsidRPr="00FD06D6">
              <w:t xml:space="preserve">Procurement process for agencies to become approved suppliers for the </w:t>
            </w:r>
            <w:r>
              <w:t>Trust</w:t>
            </w:r>
            <w:r w:rsidRPr="00FD06D6">
              <w:t>. This includes any application procedures, evaluation criteria, and timelines.</w:t>
            </w:r>
          </w:p>
          <w:p w14:paraId="56F9F6D3" w14:textId="77777777" w:rsidR="0027188C" w:rsidRPr="00413DD3" w:rsidRDefault="0027188C" w:rsidP="00C42ABB"/>
        </w:tc>
        <w:tc>
          <w:tcPr>
            <w:tcW w:w="2500" w:type="pct"/>
          </w:tcPr>
          <w:p w14:paraId="75D19098" w14:textId="7B328263" w:rsidR="0027188C" w:rsidRDefault="0027188C" w:rsidP="0027432E">
            <w:r w:rsidRPr="00156892">
              <w:t xml:space="preserve">In the event the </w:t>
            </w:r>
            <w:r>
              <w:t>Trust</w:t>
            </w:r>
            <w:r w:rsidRPr="00156892">
              <w:t xml:space="preserve"> requires more suppliers on its P</w:t>
            </w:r>
            <w:r>
              <w:t>referred Supplier List (P</w:t>
            </w:r>
            <w:r w:rsidRPr="00156892">
              <w:t>SL</w:t>
            </w:r>
            <w:r>
              <w:t>)</w:t>
            </w:r>
            <w:r w:rsidRPr="00156892">
              <w:t xml:space="preserve">, the </w:t>
            </w:r>
            <w:r>
              <w:t>Trust</w:t>
            </w:r>
            <w:r w:rsidRPr="00156892">
              <w:t xml:space="preserve"> will approach agencies listed on the Workforce Alliance RM6281 framework</w:t>
            </w:r>
            <w:r>
              <w:t xml:space="preserve"> for clinical workers</w:t>
            </w:r>
            <w:r w:rsidRPr="00156892">
              <w:t>.</w:t>
            </w:r>
          </w:p>
        </w:tc>
      </w:tr>
      <w:tr w:rsidR="0027188C" w14:paraId="21E160D0" w14:textId="77777777" w:rsidTr="0027188C">
        <w:tc>
          <w:tcPr>
            <w:tcW w:w="2500" w:type="pct"/>
          </w:tcPr>
          <w:p w14:paraId="3086AD29" w14:textId="77777777" w:rsidR="0027188C" w:rsidRDefault="0027188C" w:rsidP="00C42ABB">
            <w:r>
              <w:t>AGENCIES</w:t>
            </w:r>
          </w:p>
          <w:p w14:paraId="39ADDBEE" w14:textId="176B20D2" w:rsidR="0027188C" w:rsidRPr="00FD06D6" w:rsidRDefault="0027188C" w:rsidP="00FD06D6">
            <w:r w:rsidRPr="00FD06D6">
              <w:t xml:space="preserve">Onboarding Process: Information on the onboarding process for new agencies, and how they become a supplier to the </w:t>
            </w:r>
            <w:r>
              <w:t>Trust</w:t>
            </w:r>
            <w:r w:rsidRPr="00FD06D6">
              <w:t>.</w:t>
            </w:r>
          </w:p>
          <w:p w14:paraId="5DDB11BA" w14:textId="77777777" w:rsidR="0027188C" w:rsidRPr="00413DD3" w:rsidRDefault="0027188C" w:rsidP="00C42ABB"/>
        </w:tc>
        <w:tc>
          <w:tcPr>
            <w:tcW w:w="2500" w:type="pct"/>
          </w:tcPr>
          <w:p w14:paraId="3843E55C" w14:textId="644AF93E" w:rsidR="0027188C" w:rsidRPr="00156892" w:rsidRDefault="0027188C" w:rsidP="00FD06D6">
            <w:r w:rsidRPr="00156892">
              <w:t xml:space="preserve">Following agreement to supply, agencies sign a call off contract and complete a new supplier form for set up on </w:t>
            </w:r>
            <w:r>
              <w:t>Trust</w:t>
            </w:r>
            <w:r w:rsidRPr="00156892">
              <w:t xml:space="preserve"> booking and payment systems.</w:t>
            </w:r>
          </w:p>
          <w:p w14:paraId="1FC2DDA1" w14:textId="77777777" w:rsidR="0027188C" w:rsidRDefault="0027188C" w:rsidP="0027432E"/>
        </w:tc>
      </w:tr>
      <w:tr w:rsidR="0027188C" w14:paraId="3975955A" w14:textId="77777777" w:rsidTr="0027188C">
        <w:tc>
          <w:tcPr>
            <w:tcW w:w="2500" w:type="pct"/>
          </w:tcPr>
          <w:p w14:paraId="5E4BE241" w14:textId="4B27531B" w:rsidR="0027188C" w:rsidRDefault="0027188C" w:rsidP="00FD06D6">
            <w:r>
              <w:t>AGENCIES – ON FRAMEWORK</w:t>
            </w:r>
          </w:p>
          <w:p w14:paraId="2033B786" w14:textId="0AE1183A" w:rsidR="0027188C" w:rsidRPr="00D41133" w:rsidRDefault="0027188C" w:rsidP="00FD06D6">
            <w:pPr>
              <w:rPr>
                <w:i/>
                <w:iCs/>
              </w:rPr>
            </w:pPr>
            <w:r w:rsidRPr="00D41133">
              <w:rPr>
                <w:i/>
                <w:iCs/>
              </w:rPr>
              <w:t xml:space="preserve">Nursing and Midwifery (PSL)  </w:t>
            </w:r>
          </w:p>
          <w:p w14:paraId="7B145655" w14:textId="77777777" w:rsidR="0027188C" w:rsidRPr="00413DD3" w:rsidRDefault="0027188C" w:rsidP="00FD06D6"/>
        </w:tc>
        <w:tc>
          <w:tcPr>
            <w:tcW w:w="2500" w:type="pct"/>
          </w:tcPr>
          <w:p w14:paraId="56410618" w14:textId="08511BE7" w:rsidR="0027188C" w:rsidRDefault="0027188C" w:rsidP="00611C42">
            <w:pPr>
              <w:ind w:left="11" w:hanging="11"/>
            </w:pPr>
            <w:r w:rsidRPr="00156892">
              <w:t>All nursing and midwifery agencies are</w:t>
            </w:r>
            <w:r>
              <w:t xml:space="preserve"> supplied</w:t>
            </w:r>
            <w:r w:rsidRPr="00156892">
              <w:t xml:space="preserve"> under framework RM6281</w:t>
            </w:r>
            <w:r>
              <w:t xml:space="preserve">.  </w:t>
            </w:r>
          </w:p>
          <w:p w14:paraId="20288844" w14:textId="77777777" w:rsidR="0027188C" w:rsidRDefault="0027188C" w:rsidP="00611C42">
            <w:pPr>
              <w:ind w:left="11" w:hanging="11"/>
            </w:pPr>
          </w:p>
          <w:p w14:paraId="214DBD86" w14:textId="03942E2A" w:rsidR="0027188C" w:rsidRDefault="0027188C" w:rsidP="00611C42">
            <w:pPr>
              <w:ind w:left="11" w:hanging="11"/>
            </w:pPr>
            <w:r>
              <w:t xml:space="preserve">The list below is correct as of April 2025. </w:t>
            </w:r>
          </w:p>
          <w:p w14:paraId="6312681F" w14:textId="77777777" w:rsidR="0027188C" w:rsidRDefault="0027188C" w:rsidP="00611C42">
            <w:pPr>
              <w:ind w:left="11" w:hanging="11"/>
            </w:pPr>
          </w:p>
          <w:p w14:paraId="7FFDE9C5" w14:textId="0451F896" w:rsidR="0027188C" w:rsidRPr="00156892" w:rsidRDefault="0027188C" w:rsidP="00611C42">
            <w:pPr>
              <w:ind w:left="11" w:hanging="11"/>
            </w:pPr>
            <w:r>
              <w:t xml:space="preserve">Note that this document’s list will be updated bi-annually from date of publication.  Any requests for an up to date list at any time before the update is due will be exempted under Section 22 – Intended for future publication. </w:t>
            </w:r>
          </w:p>
          <w:p w14:paraId="1793B371" w14:textId="77777777" w:rsidR="0027188C" w:rsidRDefault="0027188C" w:rsidP="00611C42">
            <w:pPr>
              <w:ind w:left="11" w:hanging="11"/>
            </w:pPr>
          </w:p>
          <w:p w14:paraId="1857BF09" w14:textId="77777777" w:rsidR="0027188C" w:rsidRPr="00156892" w:rsidRDefault="0027188C" w:rsidP="00611C42">
            <w:pPr>
              <w:ind w:left="11" w:hanging="11"/>
            </w:pPr>
            <w:r w:rsidRPr="00156892">
              <w:t>Athona Limited</w:t>
            </w:r>
          </w:p>
          <w:p w14:paraId="79486C98" w14:textId="77777777" w:rsidR="0027188C" w:rsidRPr="00156892" w:rsidRDefault="0027188C" w:rsidP="00611C42">
            <w:pPr>
              <w:ind w:left="11" w:hanging="11"/>
            </w:pPr>
            <w:r w:rsidRPr="00156892">
              <w:t>Care Providers Recruitment Limited</w:t>
            </w:r>
          </w:p>
          <w:p w14:paraId="6A7B097D" w14:textId="77777777" w:rsidR="0027188C" w:rsidRPr="00156892" w:rsidRDefault="0027188C" w:rsidP="00611C42">
            <w:pPr>
              <w:ind w:left="11" w:hanging="11"/>
            </w:pPr>
            <w:r w:rsidRPr="00156892">
              <w:t>Cromwell Medical Staffing Limited</w:t>
            </w:r>
          </w:p>
          <w:p w14:paraId="0D27ED6F" w14:textId="77777777" w:rsidR="0027188C" w:rsidRPr="00156892" w:rsidRDefault="0027188C" w:rsidP="00611C42">
            <w:pPr>
              <w:ind w:left="11" w:hanging="11"/>
            </w:pPr>
            <w:r w:rsidRPr="00156892">
              <w:t>Daytime Healthcare Recruitment Limited</w:t>
            </w:r>
          </w:p>
          <w:p w14:paraId="4FCC79D0" w14:textId="77777777" w:rsidR="0027188C" w:rsidRPr="00156892" w:rsidRDefault="0027188C" w:rsidP="00611C42">
            <w:pPr>
              <w:ind w:left="11" w:hanging="11"/>
            </w:pPr>
            <w:r w:rsidRPr="00156892">
              <w:t>Firstpoint Healthcare Limited</w:t>
            </w:r>
          </w:p>
          <w:p w14:paraId="726A0D21" w14:textId="77777777" w:rsidR="0027188C" w:rsidRPr="00156892" w:rsidRDefault="0027188C" w:rsidP="00611C42">
            <w:pPr>
              <w:ind w:left="11" w:hanging="11"/>
            </w:pPr>
            <w:r w:rsidRPr="00156892">
              <w:t>Globe Locums Limited</w:t>
            </w:r>
          </w:p>
          <w:p w14:paraId="6986B2C2" w14:textId="77777777" w:rsidR="0027188C" w:rsidRPr="00156892" w:rsidRDefault="0027188C" w:rsidP="00611C42">
            <w:pPr>
              <w:ind w:left="11" w:hanging="11"/>
            </w:pPr>
            <w:r w:rsidRPr="00156892">
              <w:t>Hanson Grey</w:t>
            </w:r>
          </w:p>
          <w:p w14:paraId="6F849B68" w14:textId="77777777" w:rsidR="0027188C" w:rsidRPr="00156892" w:rsidRDefault="0027188C" w:rsidP="00611C42">
            <w:pPr>
              <w:ind w:left="11" w:hanging="11"/>
            </w:pPr>
            <w:r w:rsidRPr="00156892">
              <w:t>IMS</w:t>
            </w:r>
          </w:p>
          <w:p w14:paraId="4D4AEA4E" w14:textId="77777777" w:rsidR="0027188C" w:rsidRPr="00156892" w:rsidRDefault="0027188C" w:rsidP="00611C42">
            <w:pPr>
              <w:ind w:left="11" w:hanging="11"/>
            </w:pPr>
            <w:r w:rsidRPr="00156892">
              <w:t>Medacs Healthcare Limited</w:t>
            </w:r>
          </w:p>
          <w:p w14:paraId="4E0B8030" w14:textId="77777777" w:rsidR="0027188C" w:rsidRPr="00156892" w:rsidRDefault="0027188C" w:rsidP="00611C42">
            <w:pPr>
              <w:ind w:left="11" w:hanging="11"/>
            </w:pPr>
            <w:r w:rsidRPr="00156892">
              <w:t>Medicspro Ltd</w:t>
            </w:r>
          </w:p>
          <w:p w14:paraId="2A4180B7" w14:textId="77777777" w:rsidR="0027188C" w:rsidRPr="00156892" w:rsidRDefault="0027188C" w:rsidP="00611C42">
            <w:pPr>
              <w:ind w:left="11" w:hanging="11"/>
            </w:pPr>
            <w:r w:rsidRPr="00156892">
              <w:t>Pertemps Medical Limited</w:t>
            </w:r>
          </w:p>
          <w:p w14:paraId="2DF3A6B4" w14:textId="77777777" w:rsidR="0027188C" w:rsidRPr="00156892" w:rsidRDefault="0027188C" w:rsidP="00611C42">
            <w:pPr>
              <w:ind w:left="11" w:hanging="11"/>
            </w:pPr>
            <w:r w:rsidRPr="00156892">
              <w:t xml:space="preserve">Pulse Healthcare Limited (Nursing) </w:t>
            </w:r>
          </w:p>
          <w:p w14:paraId="774F0009" w14:textId="77777777" w:rsidR="0027188C" w:rsidRPr="00156892" w:rsidRDefault="0027188C" w:rsidP="00611C42">
            <w:pPr>
              <w:ind w:left="11" w:hanging="11"/>
            </w:pPr>
            <w:r w:rsidRPr="00156892">
              <w:t>Total Assist Recruitment Limited</w:t>
            </w:r>
          </w:p>
          <w:p w14:paraId="2CC13F66" w14:textId="1C4729EA" w:rsidR="0027188C" w:rsidRPr="00156892" w:rsidRDefault="0027188C" w:rsidP="00611C42">
            <w:pPr>
              <w:ind w:left="11" w:hanging="11"/>
            </w:pPr>
            <w:r>
              <w:t>Trust</w:t>
            </w:r>
            <w:r w:rsidRPr="00156892">
              <w:t xml:space="preserve"> Nurse</w:t>
            </w:r>
          </w:p>
          <w:p w14:paraId="0CA9F5B6" w14:textId="77777777" w:rsidR="0027188C" w:rsidRPr="00156892" w:rsidRDefault="0027188C" w:rsidP="00611C42">
            <w:pPr>
              <w:ind w:left="11" w:hanging="11"/>
            </w:pPr>
            <w:r w:rsidRPr="00156892">
              <w:t>Urgent Staffing Limited</w:t>
            </w:r>
          </w:p>
          <w:p w14:paraId="6F440FCC" w14:textId="77777777" w:rsidR="0027188C" w:rsidRDefault="0027188C" w:rsidP="00611C42">
            <w:pPr>
              <w:ind w:left="11" w:hanging="11"/>
            </w:pPr>
            <w:r w:rsidRPr="00156892">
              <w:t>Your World Nursing Limited</w:t>
            </w:r>
          </w:p>
        </w:tc>
      </w:tr>
      <w:tr w:rsidR="0027188C" w14:paraId="42FADFE2" w14:textId="77777777" w:rsidTr="0027188C">
        <w:trPr>
          <w:trHeight w:val="680"/>
        </w:trPr>
        <w:tc>
          <w:tcPr>
            <w:tcW w:w="2500" w:type="pct"/>
          </w:tcPr>
          <w:p w14:paraId="61427D8E" w14:textId="77777777" w:rsidR="0027188C" w:rsidRDefault="0027188C" w:rsidP="00B075A7">
            <w:r>
              <w:lastRenderedPageBreak/>
              <w:t>AGENCIES – ON FRAMEWORK</w:t>
            </w:r>
          </w:p>
          <w:p w14:paraId="4ED78C4C" w14:textId="5F61F3D5" w:rsidR="0027188C" w:rsidRPr="00D41133" w:rsidRDefault="0027188C" w:rsidP="00B075A7">
            <w:pPr>
              <w:rPr>
                <w:i/>
                <w:iCs/>
              </w:rPr>
            </w:pPr>
            <w:r w:rsidRPr="00D41133">
              <w:rPr>
                <w:i/>
                <w:iCs/>
              </w:rPr>
              <w:t xml:space="preserve">Doctors / Medical and Dental staff (PSL) </w:t>
            </w:r>
          </w:p>
          <w:p w14:paraId="662BC0C9" w14:textId="77777777" w:rsidR="0027188C" w:rsidRDefault="0027188C"/>
        </w:tc>
        <w:tc>
          <w:tcPr>
            <w:tcW w:w="2500" w:type="pct"/>
            <w:shd w:val="clear" w:color="auto" w:fill="auto"/>
          </w:tcPr>
          <w:p w14:paraId="527D574C" w14:textId="77777777" w:rsidR="0027188C" w:rsidRDefault="0027188C" w:rsidP="004421CC">
            <w:pPr>
              <w:ind w:left="11" w:hanging="11"/>
            </w:pPr>
            <w:r>
              <w:t xml:space="preserve">The list below is correct as of April 2025. </w:t>
            </w:r>
          </w:p>
          <w:p w14:paraId="2D8AE437" w14:textId="77777777" w:rsidR="0027188C" w:rsidRDefault="0027188C" w:rsidP="004421CC">
            <w:pPr>
              <w:ind w:left="11" w:hanging="11"/>
            </w:pPr>
          </w:p>
          <w:p w14:paraId="4461D125" w14:textId="2CE9DE4B" w:rsidR="0027188C" w:rsidRPr="00156892" w:rsidRDefault="0027188C" w:rsidP="004421CC">
            <w:pPr>
              <w:ind w:left="11" w:hanging="11"/>
            </w:pPr>
            <w:r>
              <w:t xml:space="preserve">Note that this list will be updated bi-annually from date of publication.  Any requests for an up to date list at any time before the update is due will be exempted under Section 22 – Intended for future publication. </w:t>
            </w:r>
          </w:p>
          <w:p w14:paraId="3C137BB3" w14:textId="77777777" w:rsidR="0027188C" w:rsidRDefault="0027188C" w:rsidP="00FB1B9B">
            <w:pPr>
              <w:spacing w:line="252" w:lineRule="auto"/>
            </w:pPr>
          </w:p>
          <w:p w14:paraId="430556F5" w14:textId="034D005C" w:rsidR="0027188C" w:rsidRDefault="0027188C" w:rsidP="00FB1B9B">
            <w:pPr>
              <w:spacing w:line="252" w:lineRule="auto"/>
            </w:pPr>
            <w:r>
              <w:t>Athona Limited</w:t>
            </w:r>
          </w:p>
          <w:p w14:paraId="3EE5C494" w14:textId="77777777" w:rsidR="0027188C" w:rsidRDefault="0027188C" w:rsidP="00FB1B9B">
            <w:pPr>
              <w:spacing w:line="252" w:lineRule="auto"/>
            </w:pPr>
            <w:r>
              <w:t>Day Webster</w:t>
            </w:r>
          </w:p>
          <w:p w14:paraId="0FB337DD" w14:textId="77777777" w:rsidR="0027188C" w:rsidRDefault="0027188C" w:rsidP="00FB1B9B">
            <w:pPr>
              <w:spacing w:line="252" w:lineRule="auto"/>
            </w:pPr>
            <w:r>
              <w:t>Holt Medical Recruitment Limited</w:t>
            </w:r>
          </w:p>
          <w:p w14:paraId="6972C172" w14:textId="77777777" w:rsidR="0027188C" w:rsidRDefault="0027188C" w:rsidP="00FB1B9B">
            <w:pPr>
              <w:spacing w:line="252" w:lineRule="auto"/>
            </w:pPr>
            <w:r>
              <w:t>Id Medical Group Limited</w:t>
            </w:r>
          </w:p>
          <w:p w14:paraId="72741A0A" w14:textId="77777777" w:rsidR="0027188C" w:rsidRDefault="0027188C" w:rsidP="00FB1B9B">
            <w:pPr>
              <w:spacing w:line="252" w:lineRule="auto"/>
            </w:pPr>
            <w:r>
              <w:t>Locum People Ltd</w:t>
            </w:r>
          </w:p>
          <w:p w14:paraId="6B17D37D" w14:textId="77777777" w:rsidR="0027188C" w:rsidRDefault="0027188C" w:rsidP="00FB1B9B">
            <w:pPr>
              <w:spacing w:line="252" w:lineRule="auto"/>
            </w:pPr>
            <w:r>
              <w:t>Medacs Healthcare Limited</w:t>
            </w:r>
          </w:p>
          <w:p w14:paraId="0C1944F2" w14:textId="77777777" w:rsidR="0027188C" w:rsidRDefault="0027188C" w:rsidP="00FB1B9B">
            <w:pPr>
              <w:spacing w:line="252" w:lineRule="auto"/>
            </w:pPr>
            <w:r>
              <w:t>Medecho</w:t>
            </w:r>
          </w:p>
          <w:p w14:paraId="4076A5FF" w14:textId="0FEE4D38" w:rsidR="0027188C" w:rsidRDefault="0027188C" w:rsidP="00FB1B9B">
            <w:pPr>
              <w:spacing w:line="252" w:lineRule="auto"/>
            </w:pPr>
            <w:r>
              <w:t>Medilink Consulting Ltd</w:t>
            </w:r>
          </w:p>
          <w:p w14:paraId="5F582A43" w14:textId="77777777" w:rsidR="0027188C" w:rsidRDefault="0027188C" w:rsidP="00FB1B9B">
            <w:pPr>
              <w:spacing w:line="252" w:lineRule="auto"/>
            </w:pPr>
            <w:r>
              <w:t>National Locums Ltd</w:t>
            </w:r>
          </w:p>
          <w:p w14:paraId="545A25F4" w14:textId="77777777" w:rsidR="0027188C" w:rsidRDefault="0027188C" w:rsidP="00FB1B9B">
            <w:pPr>
              <w:spacing w:line="252" w:lineRule="auto"/>
            </w:pPr>
            <w:r>
              <w:t>Nc Healthcare Ltd</w:t>
            </w:r>
          </w:p>
          <w:p w14:paraId="216EE4C6" w14:textId="77777777" w:rsidR="0027188C" w:rsidRDefault="0027188C" w:rsidP="00FB1B9B">
            <w:pPr>
              <w:spacing w:line="252" w:lineRule="auto"/>
            </w:pPr>
            <w:r>
              <w:t>Pertemps Medical Limited</w:t>
            </w:r>
          </w:p>
          <w:p w14:paraId="364B3F52" w14:textId="77777777" w:rsidR="0027188C" w:rsidRDefault="0027188C" w:rsidP="00FB1B9B">
            <w:pPr>
              <w:spacing w:line="252" w:lineRule="auto"/>
            </w:pPr>
            <w:r>
              <w:t>Promedical</w:t>
            </w:r>
          </w:p>
          <w:p w14:paraId="7FC8F9E3" w14:textId="77777777" w:rsidR="0027188C" w:rsidRDefault="0027188C" w:rsidP="00FB1B9B">
            <w:pPr>
              <w:spacing w:line="252" w:lineRule="auto"/>
            </w:pPr>
            <w:r>
              <w:t>Pulse - Doctors (Accident &amp; Emergency Agency Limited)</w:t>
            </w:r>
          </w:p>
          <w:p w14:paraId="5C277625" w14:textId="77777777" w:rsidR="0027188C" w:rsidRDefault="0027188C" w:rsidP="00FB1B9B">
            <w:pPr>
              <w:spacing w:line="252" w:lineRule="auto"/>
            </w:pPr>
            <w:r>
              <w:t>Rig Locums Limited</w:t>
            </w:r>
          </w:p>
          <w:p w14:paraId="70EC4CDE" w14:textId="77777777" w:rsidR="0027188C" w:rsidRDefault="0027188C" w:rsidP="00FB1B9B">
            <w:pPr>
              <w:spacing w:line="252" w:lineRule="auto"/>
            </w:pPr>
            <w:r>
              <w:t>Txm Healthcare Limited</w:t>
            </w:r>
          </w:p>
          <w:p w14:paraId="378FC91E" w14:textId="344DE247" w:rsidR="0027188C" w:rsidRDefault="0027188C" w:rsidP="00FB1B9B">
            <w:pPr>
              <w:spacing w:line="252" w:lineRule="auto"/>
            </w:pPr>
            <w:r>
              <w:t>Unite Medical Limited</w:t>
            </w:r>
          </w:p>
        </w:tc>
      </w:tr>
      <w:tr w:rsidR="0027188C" w14:paraId="030C027E" w14:textId="77777777" w:rsidTr="0027188C">
        <w:trPr>
          <w:trHeight w:val="680"/>
        </w:trPr>
        <w:tc>
          <w:tcPr>
            <w:tcW w:w="2500" w:type="pct"/>
          </w:tcPr>
          <w:p w14:paraId="7EC84FC5" w14:textId="77777777" w:rsidR="0027188C" w:rsidRDefault="0027188C" w:rsidP="00B075A7">
            <w:r>
              <w:t>AGENCIES – ON FRAMEWORK</w:t>
            </w:r>
          </w:p>
          <w:p w14:paraId="65A93B04" w14:textId="33FE523A" w:rsidR="0027188C" w:rsidRPr="00D41133" w:rsidRDefault="0027188C" w:rsidP="00B075A7">
            <w:pPr>
              <w:rPr>
                <w:i/>
                <w:iCs/>
              </w:rPr>
            </w:pPr>
            <w:r w:rsidRPr="00D41133">
              <w:rPr>
                <w:i/>
                <w:iCs/>
              </w:rPr>
              <w:t xml:space="preserve">AHP’s (PSL) </w:t>
            </w:r>
          </w:p>
          <w:p w14:paraId="1F3C6900" w14:textId="77777777" w:rsidR="0027188C" w:rsidRDefault="0027188C"/>
        </w:tc>
        <w:tc>
          <w:tcPr>
            <w:tcW w:w="2500" w:type="pct"/>
            <w:shd w:val="clear" w:color="auto" w:fill="auto"/>
          </w:tcPr>
          <w:p w14:paraId="43D71A3B" w14:textId="77777777" w:rsidR="0027188C" w:rsidRDefault="0027188C" w:rsidP="004421CC">
            <w:pPr>
              <w:ind w:left="11" w:hanging="11"/>
            </w:pPr>
            <w:r>
              <w:t xml:space="preserve">The list below is correct as of April 2025. </w:t>
            </w:r>
          </w:p>
          <w:p w14:paraId="2E1633AF" w14:textId="77777777" w:rsidR="0027188C" w:rsidRDefault="0027188C" w:rsidP="004421CC">
            <w:pPr>
              <w:ind w:left="11" w:hanging="11"/>
            </w:pPr>
          </w:p>
          <w:p w14:paraId="24C989C8" w14:textId="04B4D3DB" w:rsidR="0027188C" w:rsidRPr="00156892" w:rsidRDefault="0027188C" w:rsidP="004421CC">
            <w:pPr>
              <w:ind w:left="11" w:hanging="11"/>
            </w:pPr>
            <w:r>
              <w:t xml:space="preserve">Note that this list will be updated </w:t>
            </w:r>
            <w:r w:rsidR="004E522E">
              <w:t>bi-</w:t>
            </w:r>
            <w:r>
              <w:t xml:space="preserve">annually from date of publication.  Any requests for an up to date list at any time before the update is due will be exempted under Section 22 – Intended for future publication. </w:t>
            </w:r>
          </w:p>
          <w:p w14:paraId="34C6A5E5" w14:textId="77777777" w:rsidR="0027188C" w:rsidRDefault="0027188C" w:rsidP="00FB1B9B">
            <w:pPr>
              <w:spacing w:line="252" w:lineRule="auto"/>
            </w:pPr>
          </w:p>
          <w:p w14:paraId="2C62DBEE" w14:textId="70096DD0" w:rsidR="0027188C" w:rsidRDefault="0027188C" w:rsidP="00FB1B9B">
            <w:pPr>
              <w:spacing w:line="252" w:lineRule="auto"/>
            </w:pPr>
            <w:r>
              <w:t>Day Webster</w:t>
            </w:r>
          </w:p>
          <w:p w14:paraId="679BFA0C" w14:textId="0FBBC44D" w:rsidR="0027188C" w:rsidRDefault="0027188C" w:rsidP="00FB1B9B">
            <w:pPr>
              <w:spacing w:line="252" w:lineRule="auto"/>
            </w:pPr>
            <w:r>
              <w:t>Globe Locums Limited</w:t>
            </w:r>
          </w:p>
          <w:p w14:paraId="76754674" w14:textId="07DFCE0D" w:rsidR="0027188C" w:rsidRDefault="0027188C" w:rsidP="00FB1B9B">
            <w:pPr>
              <w:spacing w:line="252" w:lineRule="auto"/>
            </w:pPr>
            <w:r>
              <w:t>Hunter Gatherer Ahp Resourcing Limited</w:t>
            </w:r>
          </w:p>
          <w:p w14:paraId="448EFE76" w14:textId="77777777" w:rsidR="0027188C" w:rsidRDefault="0027188C" w:rsidP="00FB1B9B">
            <w:pPr>
              <w:spacing w:line="252" w:lineRule="auto"/>
            </w:pPr>
            <w:r>
              <w:t>Medicspro Ltd</w:t>
            </w:r>
          </w:p>
          <w:p w14:paraId="3CC4DBAB" w14:textId="77777777" w:rsidR="0027188C" w:rsidRDefault="0027188C" w:rsidP="00FB1B9B">
            <w:pPr>
              <w:spacing w:line="252" w:lineRule="auto"/>
            </w:pPr>
            <w:r>
              <w:lastRenderedPageBreak/>
              <w:t>Pulse - AHP (Maxxima Limited)</w:t>
            </w:r>
          </w:p>
          <w:p w14:paraId="672C110D" w14:textId="77777777" w:rsidR="0027188C" w:rsidRDefault="0027188C" w:rsidP="00FB1B9B">
            <w:pPr>
              <w:spacing w:line="252" w:lineRule="auto"/>
            </w:pPr>
            <w:r>
              <w:t>Rig Medical Recruit Limited</w:t>
            </w:r>
          </w:p>
          <w:p w14:paraId="20970913" w14:textId="77777777" w:rsidR="0027188C" w:rsidRDefault="0027188C" w:rsidP="00FB1B9B">
            <w:pPr>
              <w:spacing w:line="252" w:lineRule="auto"/>
            </w:pPr>
            <w:r>
              <w:t>Sanctuary Personnel</w:t>
            </w:r>
          </w:p>
          <w:p w14:paraId="5D43E036" w14:textId="77777777" w:rsidR="0027188C" w:rsidRDefault="0027188C" w:rsidP="00FB1B9B">
            <w:pPr>
              <w:spacing w:line="252" w:lineRule="auto"/>
            </w:pPr>
            <w:r>
              <w:t>Set Healthcare Ltd</w:t>
            </w:r>
          </w:p>
          <w:p w14:paraId="0FFD6E4F" w14:textId="2353ECAB" w:rsidR="0027188C" w:rsidRDefault="0027188C" w:rsidP="00FB1B9B">
            <w:pPr>
              <w:spacing w:line="252" w:lineRule="auto"/>
            </w:pPr>
            <w:r>
              <w:t xml:space="preserve">The Placement Group (TPG) </w:t>
            </w:r>
          </w:p>
          <w:p w14:paraId="087D7564" w14:textId="77777777" w:rsidR="0027188C" w:rsidRDefault="0027188C" w:rsidP="00FB1B9B">
            <w:pPr>
              <w:spacing w:line="252" w:lineRule="auto"/>
            </w:pPr>
            <w:r>
              <w:t>Your Nurse Limited</w:t>
            </w:r>
          </w:p>
          <w:p w14:paraId="0C0CEAD6" w14:textId="77777777" w:rsidR="0027188C" w:rsidRDefault="0027188C" w:rsidP="00FB1B9B">
            <w:pPr>
              <w:spacing w:line="252" w:lineRule="auto"/>
            </w:pPr>
            <w:r>
              <w:t>Your World Recruitment Limited</w:t>
            </w:r>
          </w:p>
          <w:p w14:paraId="6B94D806" w14:textId="500D22A4" w:rsidR="004202A4" w:rsidRDefault="004202A4" w:rsidP="00FB1B9B">
            <w:pPr>
              <w:spacing w:line="252" w:lineRule="auto"/>
            </w:pPr>
          </w:p>
        </w:tc>
      </w:tr>
      <w:tr w:rsidR="0027188C" w14:paraId="256D210E" w14:textId="77777777" w:rsidTr="0027188C">
        <w:trPr>
          <w:trHeight w:val="680"/>
        </w:trPr>
        <w:tc>
          <w:tcPr>
            <w:tcW w:w="2500" w:type="pct"/>
          </w:tcPr>
          <w:p w14:paraId="6EEF69D2" w14:textId="38E13F68" w:rsidR="0027188C" w:rsidRDefault="0027188C">
            <w:r>
              <w:lastRenderedPageBreak/>
              <w:t>AGENCIES – ON FRAMEWORK</w:t>
            </w:r>
          </w:p>
          <w:p w14:paraId="71BB8C1B" w14:textId="77777777" w:rsidR="0027188C" w:rsidRPr="00D41133" w:rsidRDefault="0027188C" w:rsidP="00763504">
            <w:pPr>
              <w:spacing w:line="252" w:lineRule="auto"/>
              <w:rPr>
                <w:rFonts w:eastAsia="Times New Roman" w:cstheme="minorHAnsi"/>
                <w:bCs/>
                <w:i/>
                <w:iCs/>
              </w:rPr>
            </w:pPr>
            <w:r w:rsidRPr="00D41133">
              <w:rPr>
                <w:rFonts w:eastAsia="Times New Roman" w:cstheme="minorHAnsi"/>
                <w:bCs/>
                <w:i/>
                <w:iCs/>
              </w:rPr>
              <w:t>When is your PSL up for renewal?</w:t>
            </w:r>
          </w:p>
          <w:p w14:paraId="42FADA86" w14:textId="77777777" w:rsidR="0027188C" w:rsidRDefault="0027188C"/>
        </w:tc>
        <w:tc>
          <w:tcPr>
            <w:tcW w:w="2500" w:type="pct"/>
            <w:shd w:val="clear" w:color="auto" w:fill="auto"/>
          </w:tcPr>
          <w:p w14:paraId="362BAD9E" w14:textId="77777777" w:rsidR="0027188C" w:rsidRDefault="0027188C" w:rsidP="0027188C">
            <w:r>
              <w:t>Our Preferred Supplier List (PSL) is reviewed quarterly.  T</w:t>
            </w:r>
            <w:r w:rsidRPr="00B075A7">
              <w:t>his is a new process s</w:t>
            </w:r>
            <w:r>
              <w:t xml:space="preserve">tarted in October 2024.  The lists of agencies on this document will be updated bi-annually from date of publication.  Any requests for an up to date list at any time before the update is due will be exempted under Section 22 – Intended for future publication. </w:t>
            </w:r>
          </w:p>
          <w:p w14:paraId="2C9E241E" w14:textId="5F8B03D7" w:rsidR="004202A4" w:rsidRDefault="004202A4" w:rsidP="0027188C"/>
        </w:tc>
      </w:tr>
      <w:tr w:rsidR="0027188C" w14:paraId="3F02BED8" w14:textId="77777777" w:rsidTr="0027188C">
        <w:trPr>
          <w:trHeight w:val="680"/>
        </w:trPr>
        <w:tc>
          <w:tcPr>
            <w:tcW w:w="2500" w:type="pct"/>
          </w:tcPr>
          <w:p w14:paraId="6699CFEE" w14:textId="77777777" w:rsidR="0027188C" w:rsidRDefault="0027188C" w:rsidP="00FD06D6">
            <w:r>
              <w:t xml:space="preserve">AGENCIES – PROCUREMENT ROUTE </w:t>
            </w:r>
          </w:p>
        </w:tc>
        <w:tc>
          <w:tcPr>
            <w:tcW w:w="2500" w:type="pct"/>
          </w:tcPr>
          <w:p w14:paraId="1A7715CF" w14:textId="77777777" w:rsidR="0027188C" w:rsidRDefault="0027188C" w:rsidP="00A057BB">
            <w:r>
              <w:t xml:space="preserve">Framework </w:t>
            </w:r>
            <w:r w:rsidRPr="00A057BB">
              <w:t>Workforce Alliance RM6281</w:t>
            </w:r>
            <w:r>
              <w:t xml:space="preserve">.  </w:t>
            </w:r>
          </w:p>
          <w:p w14:paraId="35CABFFE" w14:textId="6DE58DA0" w:rsidR="0027188C" w:rsidRDefault="0027188C" w:rsidP="00A057BB">
            <w:r>
              <w:t xml:space="preserve">Please see </w:t>
            </w:r>
            <w:hyperlink r:id="rId8" w:history="1">
              <w:r w:rsidRPr="005104B9">
                <w:rPr>
                  <w:rStyle w:val="Hyperlink"/>
                </w:rPr>
                <w:t>Clinical and Healthcare Staffing - NHS Workforce Alliance</w:t>
              </w:r>
            </w:hyperlink>
          </w:p>
          <w:p w14:paraId="55A0C4C6" w14:textId="77777777" w:rsidR="0027188C" w:rsidRDefault="0027188C" w:rsidP="00A057BB"/>
          <w:p w14:paraId="3E3447A5" w14:textId="658C6237" w:rsidR="0027188C" w:rsidRDefault="0027188C" w:rsidP="00A057BB">
            <w:r>
              <w:t>U</w:t>
            </w:r>
            <w:r w:rsidRPr="00A057BB">
              <w:t>sed for</w:t>
            </w:r>
            <w:r>
              <w:t xml:space="preserve"> supply of temporary clinical workers, inc:</w:t>
            </w:r>
          </w:p>
          <w:p w14:paraId="76AD4CA5" w14:textId="4BE8CCC2" w:rsidR="0027188C" w:rsidRDefault="0027188C" w:rsidP="00611C42">
            <w:pPr>
              <w:pStyle w:val="ListParagraph"/>
              <w:numPr>
                <w:ilvl w:val="0"/>
                <w:numId w:val="19"/>
              </w:numPr>
            </w:pPr>
            <w:r>
              <w:t>Medics (all grades and specialties)</w:t>
            </w:r>
          </w:p>
          <w:p w14:paraId="71624F9F" w14:textId="3D04168D" w:rsidR="0027188C" w:rsidRDefault="0027188C" w:rsidP="00611C42">
            <w:pPr>
              <w:pStyle w:val="ListParagraph"/>
              <w:numPr>
                <w:ilvl w:val="0"/>
                <w:numId w:val="19"/>
              </w:numPr>
            </w:pPr>
            <w:r>
              <w:t>Registered Allied Health Professionals (AHP); Professional, Scientific &amp; Technical; Healthcare Scientists</w:t>
            </w:r>
          </w:p>
          <w:p w14:paraId="6395865D" w14:textId="45F787F0" w:rsidR="0027188C" w:rsidRDefault="0027188C" w:rsidP="00611C42">
            <w:pPr>
              <w:pStyle w:val="ListParagraph"/>
              <w:numPr>
                <w:ilvl w:val="0"/>
                <w:numId w:val="19"/>
              </w:numPr>
            </w:pPr>
            <w:r>
              <w:t>Registered N</w:t>
            </w:r>
            <w:r w:rsidRPr="00156892">
              <w:t xml:space="preserve">ursing and </w:t>
            </w:r>
            <w:r>
              <w:t>M</w:t>
            </w:r>
            <w:r w:rsidRPr="00156892">
              <w:t xml:space="preserve">idwifery </w:t>
            </w:r>
            <w:r>
              <w:t>workers</w:t>
            </w:r>
          </w:p>
          <w:p w14:paraId="59222394" w14:textId="77777777" w:rsidR="00AB37F6" w:rsidRDefault="00AB37F6" w:rsidP="00611C42"/>
          <w:p w14:paraId="204597CC" w14:textId="5025E72A" w:rsidR="0027188C" w:rsidRDefault="0027188C" w:rsidP="00611C42">
            <w:r>
              <w:t>The Trust does not currently engage non-medical/non-clinical workers via agency</w:t>
            </w:r>
          </w:p>
          <w:p w14:paraId="7A508482" w14:textId="77777777" w:rsidR="0027188C" w:rsidRPr="00156892" w:rsidRDefault="0027188C" w:rsidP="00A057BB"/>
        </w:tc>
      </w:tr>
      <w:tr w:rsidR="0027188C" w14:paraId="142AB9B1" w14:textId="77777777" w:rsidTr="0027188C">
        <w:tc>
          <w:tcPr>
            <w:tcW w:w="2500" w:type="pct"/>
          </w:tcPr>
          <w:p w14:paraId="6760346A" w14:textId="77777777" w:rsidR="0027188C" w:rsidRDefault="0027188C" w:rsidP="00FD06D6">
            <w:r>
              <w:t>AGENCIES ON PSL</w:t>
            </w:r>
          </w:p>
          <w:p w14:paraId="70C7BF70" w14:textId="77777777" w:rsidR="0027188C" w:rsidRPr="00D41133" w:rsidRDefault="0027188C" w:rsidP="00FD06D6">
            <w:pPr>
              <w:rPr>
                <w:i/>
                <w:iCs/>
              </w:rPr>
            </w:pPr>
            <w:r w:rsidRPr="00D41133">
              <w:rPr>
                <w:i/>
                <w:iCs/>
              </w:rPr>
              <w:t>Monitoring</w:t>
            </w:r>
          </w:p>
          <w:p w14:paraId="3A083256" w14:textId="77777777" w:rsidR="0027188C" w:rsidRPr="00413DD3" w:rsidRDefault="0027188C" w:rsidP="00C42ABB"/>
        </w:tc>
        <w:tc>
          <w:tcPr>
            <w:tcW w:w="2500" w:type="pct"/>
          </w:tcPr>
          <w:p w14:paraId="677FD073" w14:textId="77777777" w:rsidR="0027188C" w:rsidRPr="00156892" w:rsidRDefault="0027188C" w:rsidP="006E2D38">
            <w:r w:rsidRPr="00156892">
              <w:t>Agencies are monitored on a quarterly basis under the following criteria:</w:t>
            </w:r>
          </w:p>
          <w:p w14:paraId="2D6CC95C" w14:textId="77777777" w:rsidR="0027188C" w:rsidRPr="00156892" w:rsidRDefault="0027188C" w:rsidP="00611C42">
            <w:pPr>
              <w:pStyle w:val="ListParagraph"/>
              <w:numPr>
                <w:ilvl w:val="0"/>
                <w:numId w:val="12"/>
              </w:numPr>
              <w:ind w:hanging="425"/>
            </w:pPr>
            <w:r w:rsidRPr="00156892">
              <w:t>Number of shifts filled</w:t>
            </w:r>
          </w:p>
          <w:p w14:paraId="41759262" w14:textId="77777777" w:rsidR="0027188C" w:rsidRPr="00156892" w:rsidRDefault="0027188C" w:rsidP="00611C42">
            <w:pPr>
              <w:pStyle w:val="ListParagraph"/>
              <w:numPr>
                <w:ilvl w:val="0"/>
                <w:numId w:val="12"/>
              </w:numPr>
              <w:ind w:hanging="425"/>
            </w:pPr>
            <w:r w:rsidRPr="00156892">
              <w:t>Compliance with the King’s Agency Rate Card</w:t>
            </w:r>
          </w:p>
          <w:p w14:paraId="567D89C6" w14:textId="77777777" w:rsidR="0027188C" w:rsidRPr="00156892" w:rsidRDefault="0027188C" w:rsidP="00611C42">
            <w:pPr>
              <w:pStyle w:val="ListParagraph"/>
              <w:numPr>
                <w:ilvl w:val="0"/>
                <w:numId w:val="12"/>
              </w:numPr>
              <w:ind w:hanging="425"/>
            </w:pPr>
            <w:r w:rsidRPr="00156892">
              <w:t>Complaints resolved within 10 days of receipt</w:t>
            </w:r>
          </w:p>
          <w:p w14:paraId="291B5868" w14:textId="77777777" w:rsidR="0027188C" w:rsidRPr="00156892" w:rsidRDefault="0027188C" w:rsidP="00611C42">
            <w:pPr>
              <w:pStyle w:val="ListParagraph"/>
              <w:numPr>
                <w:ilvl w:val="0"/>
                <w:numId w:val="12"/>
              </w:numPr>
              <w:ind w:hanging="425"/>
            </w:pPr>
            <w:r w:rsidRPr="00156892">
              <w:t>No ghost bookings</w:t>
            </w:r>
          </w:p>
          <w:p w14:paraId="4A7FFAA6" w14:textId="6465405A" w:rsidR="0027188C" w:rsidRDefault="0027188C" w:rsidP="0027432E">
            <w:pPr>
              <w:pStyle w:val="ListParagraph"/>
              <w:numPr>
                <w:ilvl w:val="0"/>
                <w:numId w:val="12"/>
              </w:numPr>
              <w:ind w:hanging="425"/>
            </w:pPr>
            <w:r w:rsidRPr="00156892">
              <w:t>No direct contact with ward managers/department heads</w:t>
            </w:r>
          </w:p>
        </w:tc>
      </w:tr>
      <w:tr w:rsidR="0027188C" w14:paraId="22688C5D" w14:textId="77777777" w:rsidTr="0027188C">
        <w:tc>
          <w:tcPr>
            <w:tcW w:w="2500" w:type="pct"/>
          </w:tcPr>
          <w:p w14:paraId="46226A5B" w14:textId="77777777" w:rsidR="0027188C" w:rsidRPr="00413DD3" w:rsidRDefault="0027188C" w:rsidP="00C42ABB">
            <w:r>
              <w:lastRenderedPageBreak/>
              <w:t xml:space="preserve">AGENCY USAGE PLAN </w:t>
            </w:r>
          </w:p>
        </w:tc>
        <w:tc>
          <w:tcPr>
            <w:tcW w:w="2500" w:type="pct"/>
          </w:tcPr>
          <w:p w14:paraId="31570199" w14:textId="77777777" w:rsidR="0027188C" w:rsidRPr="00942BF6" w:rsidRDefault="0027188C" w:rsidP="006970FB">
            <w:r w:rsidRPr="00942BF6">
              <w:t>Continuation of existing plan, which includes:</w:t>
            </w:r>
          </w:p>
          <w:p w14:paraId="71E50A91" w14:textId="77777777" w:rsidR="0027188C" w:rsidRPr="00942BF6" w:rsidRDefault="0027188C" w:rsidP="00611C42">
            <w:pPr>
              <w:pStyle w:val="ListParagraph"/>
              <w:numPr>
                <w:ilvl w:val="0"/>
                <w:numId w:val="17"/>
              </w:numPr>
              <w:ind w:left="720" w:hanging="425"/>
            </w:pPr>
            <w:r w:rsidRPr="00942BF6">
              <w:t>Reducing agency use by filling vacancies</w:t>
            </w:r>
          </w:p>
          <w:p w14:paraId="7AD36185" w14:textId="77777777" w:rsidR="0027188C" w:rsidRPr="00942BF6" w:rsidRDefault="0027188C" w:rsidP="00611C42">
            <w:pPr>
              <w:pStyle w:val="ListParagraph"/>
              <w:numPr>
                <w:ilvl w:val="0"/>
                <w:numId w:val="17"/>
              </w:numPr>
              <w:ind w:left="720" w:hanging="425"/>
            </w:pPr>
            <w:r w:rsidRPr="00942BF6">
              <w:t>Redeploying staff to cover areas/shifts that are short</w:t>
            </w:r>
          </w:p>
          <w:p w14:paraId="3CB0DE1C" w14:textId="77777777" w:rsidR="0027188C" w:rsidRDefault="0027188C" w:rsidP="00611C42">
            <w:pPr>
              <w:pStyle w:val="ListParagraph"/>
              <w:numPr>
                <w:ilvl w:val="0"/>
                <w:numId w:val="17"/>
              </w:numPr>
              <w:ind w:left="720" w:hanging="425"/>
            </w:pPr>
            <w:r w:rsidRPr="00942BF6">
              <w:t xml:space="preserve">Ensure that if the </w:t>
            </w:r>
            <w:r>
              <w:t>Trust</w:t>
            </w:r>
            <w:r w:rsidRPr="00942BF6">
              <w:t xml:space="preserve"> use agency, they are supplied</w:t>
            </w:r>
            <w:r>
              <w:t xml:space="preserve"> below NHSE capped rates and via</w:t>
            </w:r>
            <w:r w:rsidRPr="00942BF6">
              <w:t xml:space="preserve"> DE</w:t>
            </w:r>
            <w:r>
              <w:t xml:space="preserve"> (where applicable)</w:t>
            </w:r>
            <w:r w:rsidRPr="00942BF6">
              <w:t xml:space="preserve"> </w:t>
            </w:r>
          </w:p>
          <w:p w14:paraId="374A1BB4" w14:textId="225F42EB" w:rsidR="004202A4" w:rsidRDefault="004202A4" w:rsidP="00AB37F6">
            <w:pPr>
              <w:pStyle w:val="ListParagraph"/>
            </w:pPr>
          </w:p>
        </w:tc>
      </w:tr>
      <w:tr w:rsidR="0027188C" w14:paraId="768FEFE7" w14:textId="77777777" w:rsidTr="0027188C">
        <w:tc>
          <w:tcPr>
            <w:tcW w:w="2500" w:type="pct"/>
          </w:tcPr>
          <w:p w14:paraId="1EE32685" w14:textId="62259FDE" w:rsidR="0027188C" w:rsidRPr="00413DD3" w:rsidRDefault="0027188C" w:rsidP="00C42ABB">
            <w:r>
              <w:t>AGENCY USAGE - BUDGET</w:t>
            </w:r>
          </w:p>
        </w:tc>
        <w:tc>
          <w:tcPr>
            <w:tcW w:w="2500" w:type="pct"/>
          </w:tcPr>
          <w:p w14:paraId="087F1A03" w14:textId="5FCD6C08" w:rsidR="0027188C" w:rsidRPr="00A56616" w:rsidRDefault="0027188C" w:rsidP="00A56616">
            <w:pPr>
              <w:rPr>
                <w:b/>
                <w:bCs/>
              </w:rPr>
            </w:pPr>
            <w:r w:rsidRPr="00AB1606">
              <w:rPr>
                <w:b/>
                <w:bCs/>
              </w:rPr>
              <w:t> </w:t>
            </w:r>
            <w:r>
              <w:t xml:space="preserve">There is no allocated budget for agency </w:t>
            </w:r>
            <w:r w:rsidR="004202A4">
              <w:t xml:space="preserve">or bank </w:t>
            </w:r>
            <w:r>
              <w:t xml:space="preserve">staff. </w:t>
            </w:r>
          </w:p>
          <w:p w14:paraId="0B497843" w14:textId="77777777" w:rsidR="0027188C" w:rsidRDefault="0027188C" w:rsidP="0027432E"/>
        </w:tc>
      </w:tr>
      <w:tr w:rsidR="0027188C" w14:paraId="788B5EBB" w14:textId="77777777" w:rsidTr="0027188C">
        <w:tc>
          <w:tcPr>
            <w:tcW w:w="2500" w:type="pct"/>
          </w:tcPr>
          <w:p w14:paraId="1FDD8914" w14:textId="77777777" w:rsidR="0027188C" w:rsidRPr="00413DD3" w:rsidRDefault="0027188C" w:rsidP="00C42ABB">
            <w:r w:rsidRPr="00413DD3">
              <w:t>BANK STAFF</w:t>
            </w:r>
          </w:p>
          <w:p w14:paraId="77913135" w14:textId="77777777" w:rsidR="0027188C" w:rsidRDefault="0027188C" w:rsidP="00C42ABB">
            <w:pPr>
              <w:rPr>
                <w:i/>
                <w:iCs/>
              </w:rPr>
            </w:pPr>
            <w:r w:rsidRPr="00D41133">
              <w:rPr>
                <w:i/>
                <w:iCs/>
              </w:rPr>
              <w:t>In-house or outsourced?</w:t>
            </w:r>
          </w:p>
          <w:p w14:paraId="10E08E13" w14:textId="77777777" w:rsidR="0027188C" w:rsidRPr="00D41133" w:rsidRDefault="0027188C" w:rsidP="00C42ABB">
            <w:pPr>
              <w:rPr>
                <w:i/>
                <w:iCs/>
              </w:rPr>
            </w:pPr>
          </w:p>
        </w:tc>
        <w:tc>
          <w:tcPr>
            <w:tcW w:w="2500" w:type="pct"/>
          </w:tcPr>
          <w:p w14:paraId="05E2E232" w14:textId="77777777" w:rsidR="0027188C" w:rsidRDefault="0027188C" w:rsidP="0027432E">
            <w:r>
              <w:t>In-house since September 2022</w:t>
            </w:r>
          </w:p>
          <w:p w14:paraId="7A0B8DCC" w14:textId="77777777" w:rsidR="0027188C" w:rsidRDefault="0027188C" w:rsidP="0027432E"/>
          <w:p w14:paraId="11B71F29" w14:textId="27CDD9F3" w:rsidR="0027188C" w:rsidRDefault="0027188C" w:rsidP="0027432E"/>
        </w:tc>
      </w:tr>
      <w:tr w:rsidR="0027188C" w14:paraId="1C722463" w14:textId="77777777" w:rsidTr="0027188C">
        <w:tc>
          <w:tcPr>
            <w:tcW w:w="2500" w:type="pct"/>
          </w:tcPr>
          <w:p w14:paraId="15BE36C7" w14:textId="77777777" w:rsidR="0027188C" w:rsidRPr="00413DD3" w:rsidRDefault="0027188C" w:rsidP="00C42ABB">
            <w:r w:rsidRPr="00413DD3">
              <w:t>BANK STAFF</w:t>
            </w:r>
          </w:p>
          <w:p w14:paraId="3D483A19" w14:textId="77777777" w:rsidR="0027188C" w:rsidRPr="00D41133" w:rsidRDefault="0027188C" w:rsidP="00C42ABB">
            <w:pPr>
              <w:rPr>
                <w:i/>
                <w:iCs/>
              </w:rPr>
            </w:pPr>
            <w:r w:rsidRPr="00D41133">
              <w:rPr>
                <w:i/>
                <w:iCs/>
              </w:rPr>
              <w:t>Staff groups sourced?</w:t>
            </w:r>
          </w:p>
        </w:tc>
        <w:tc>
          <w:tcPr>
            <w:tcW w:w="2500" w:type="pct"/>
          </w:tcPr>
          <w:p w14:paraId="16E9A7B4" w14:textId="77777777" w:rsidR="0027188C" w:rsidRDefault="0027188C" w:rsidP="0027432E">
            <w:r>
              <w:t>Medical and Dental</w:t>
            </w:r>
          </w:p>
          <w:p w14:paraId="1CD356F8" w14:textId="7CB3E4F3" w:rsidR="0027188C" w:rsidRDefault="0027188C" w:rsidP="0027432E">
            <w:r>
              <w:t>Nursing and Midwifery – registered and unregistered</w:t>
            </w:r>
          </w:p>
          <w:p w14:paraId="2D94D02D" w14:textId="0FC2EC09" w:rsidR="0027188C" w:rsidRDefault="0027188C" w:rsidP="0027432E">
            <w:r>
              <w:t>Allied Health Professionals – registered and unregistered</w:t>
            </w:r>
          </w:p>
          <w:p w14:paraId="40E573C9" w14:textId="3C01AB4C" w:rsidR="0027188C" w:rsidRDefault="0027188C" w:rsidP="0027432E">
            <w:r>
              <w:t>Professional, Scientific &amp; Technical – registered and unregistered</w:t>
            </w:r>
          </w:p>
          <w:p w14:paraId="0E4E940A" w14:textId="2666862C" w:rsidR="0027188C" w:rsidRDefault="0027188C" w:rsidP="0027432E">
            <w:r>
              <w:t>Healthcare Scientists</w:t>
            </w:r>
            <w:r w:rsidDel="003746FB">
              <w:t xml:space="preserve"> </w:t>
            </w:r>
          </w:p>
          <w:p w14:paraId="1BB16E17" w14:textId="77777777" w:rsidR="0027188C" w:rsidRDefault="0027188C" w:rsidP="0027432E">
            <w:r>
              <w:t xml:space="preserve">Admin and Clerical </w:t>
            </w:r>
          </w:p>
          <w:p w14:paraId="69FA4615" w14:textId="77777777" w:rsidR="0027188C" w:rsidRDefault="0027188C" w:rsidP="0027432E">
            <w:r>
              <w:t>Estates and Ancillary</w:t>
            </w:r>
          </w:p>
          <w:p w14:paraId="38F8797E" w14:textId="08EBCF11" w:rsidR="0027188C" w:rsidRDefault="0027188C" w:rsidP="0027432E"/>
        </w:tc>
      </w:tr>
      <w:tr w:rsidR="0027188C" w14:paraId="44C2C976" w14:textId="77777777" w:rsidTr="0027188C">
        <w:tc>
          <w:tcPr>
            <w:tcW w:w="2500" w:type="pct"/>
          </w:tcPr>
          <w:p w14:paraId="61EA9C8A" w14:textId="77777777" w:rsidR="0027188C" w:rsidRPr="00413DD3" w:rsidRDefault="0027188C" w:rsidP="00C42ABB">
            <w:r w:rsidRPr="00413DD3">
              <w:t>BANK STAFF</w:t>
            </w:r>
          </w:p>
          <w:p w14:paraId="00844B47" w14:textId="77777777" w:rsidR="0027188C" w:rsidRPr="00D41133" w:rsidRDefault="0027188C" w:rsidP="00C42ABB">
            <w:pPr>
              <w:rPr>
                <w:i/>
                <w:iCs/>
              </w:rPr>
            </w:pPr>
            <w:r w:rsidRPr="00D41133">
              <w:rPr>
                <w:rFonts w:eastAsia="Times New Roman" w:cs="Times New Roman"/>
                <w:i/>
                <w:iCs/>
              </w:rPr>
              <w:t>Digital technology/software</w:t>
            </w:r>
            <w:r w:rsidRPr="00D41133">
              <w:rPr>
                <w:rStyle w:val="gmail-apple-converted-space"/>
                <w:rFonts w:eastAsia="Times New Roman" w:cs="Times New Roman"/>
                <w:i/>
                <w:iCs/>
              </w:rPr>
              <w:t> </w:t>
            </w:r>
            <w:r w:rsidRPr="00D41133">
              <w:rPr>
                <w:rFonts w:eastAsia="Times New Roman" w:cs="Times New Roman"/>
                <w:i/>
                <w:iCs/>
              </w:rPr>
              <w:t>to manage staff bank?</w:t>
            </w:r>
          </w:p>
        </w:tc>
        <w:tc>
          <w:tcPr>
            <w:tcW w:w="2500" w:type="pct"/>
          </w:tcPr>
          <w:p w14:paraId="6E48A0E8" w14:textId="77777777" w:rsidR="0027188C" w:rsidRDefault="0027188C" w:rsidP="0027432E">
            <w:r>
              <w:t xml:space="preserve">Yes </w:t>
            </w:r>
          </w:p>
          <w:p w14:paraId="7351D45F" w14:textId="163F65CF" w:rsidR="0027188C" w:rsidRDefault="0027188C" w:rsidP="0027432E">
            <w:r>
              <w:t>Patchwork for Medical and Dental workers</w:t>
            </w:r>
          </w:p>
          <w:p w14:paraId="254D4211" w14:textId="46361E1A" w:rsidR="0027188C" w:rsidRDefault="0027188C" w:rsidP="0027432E">
            <w:r>
              <w:t>Allocate Bank Staff for all other staff groups</w:t>
            </w:r>
          </w:p>
        </w:tc>
      </w:tr>
      <w:tr w:rsidR="0027188C" w14:paraId="430A5547" w14:textId="77777777" w:rsidTr="0027188C">
        <w:tc>
          <w:tcPr>
            <w:tcW w:w="2500" w:type="pct"/>
          </w:tcPr>
          <w:p w14:paraId="7FB784B6" w14:textId="77777777" w:rsidR="0027188C" w:rsidRPr="00413DD3" w:rsidRDefault="0027188C" w:rsidP="00C42ABB">
            <w:r w:rsidRPr="00413DD3">
              <w:t xml:space="preserve">BANK STAFF </w:t>
            </w:r>
          </w:p>
          <w:p w14:paraId="44F38A4D" w14:textId="77777777" w:rsidR="0027188C" w:rsidRDefault="0027188C" w:rsidP="00C42ABB">
            <w:pPr>
              <w:rPr>
                <w:rFonts w:eastAsia="Times New Roman" w:cs="Times New Roman"/>
                <w:i/>
                <w:iCs/>
              </w:rPr>
            </w:pPr>
            <w:r w:rsidRPr="00D41133">
              <w:rPr>
                <w:rFonts w:eastAsia="Times New Roman" w:cs="Times New Roman"/>
                <w:i/>
                <w:iCs/>
              </w:rPr>
              <w:t>Digital technology/software</w:t>
            </w:r>
            <w:r w:rsidRPr="00D41133">
              <w:rPr>
                <w:rStyle w:val="gmail-apple-converted-space"/>
                <w:rFonts w:eastAsia="Times New Roman" w:cs="Times New Roman"/>
                <w:i/>
                <w:iCs/>
              </w:rPr>
              <w:t> </w:t>
            </w:r>
            <w:r w:rsidRPr="00D41133">
              <w:rPr>
                <w:rFonts w:eastAsia="Times New Roman" w:cs="Times New Roman"/>
                <w:i/>
                <w:iCs/>
              </w:rPr>
              <w:t>to manage staff bank – contract start and end dates</w:t>
            </w:r>
          </w:p>
          <w:p w14:paraId="3E6B39F2" w14:textId="77777777" w:rsidR="0027188C" w:rsidRPr="00D41133" w:rsidRDefault="0027188C" w:rsidP="00C42ABB">
            <w:pPr>
              <w:rPr>
                <w:i/>
                <w:iCs/>
              </w:rPr>
            </w:pPr>
          </w:p>
        </w:tc>
        <w:tc>
          <w:tcPr>
            <w:tcW w:w="2500" w:type="pct"/>
          </w:tcPr>
          <w:p w14:paraId="329ACE42" w14:textId="77777777" w:rsidR="0027188C" w:rsidRDefault="0027188C" w:rsidP="0027432E">
            <w:r>
              <w:t>Allocate – 31/05/2022 to 30/05/2025</w:t>
            </w:r>
          </w:p>
          <w:p w14:paraId="77E78F8B" w14:textId="77777777" w:rsidR="0027188C" w:rsidRDefault="0027188C" w:rsidP="0027432E">
            <w:r>
              <w:t>Patchwork – 07/08/22 to 21/08/2026</w:t>
            </w:r>
          </w:p>
        </w:tc>
      </w:tr>
      <w:tr w:rsidR="0027188C" w14:paraId="7FC1F8BF" w14:textId="77777777" w:rsidTr="0027188C">
        <w:tc>
          <w:tcPr>
            <w:tcW w:w="2500" w:type="pct"/>
          </w:tcPr>
          <w:p w14:paraId="7E766AFE" w14:textId="77777777" w:rsidR="0027188C" w:rsidRPr="00413DD3" w:rsidRDefault="0027188C">
            <w:r w:rsidRPr="00413DD3">
              <w:t xml:space="preserve">DIRECT ENGAGEMENT </w:t>
            </w:r>
          </w:p>
          <w:p w14:paraId="1FF38930" w14:textId="77777777" w:rsidR="0027188C" w:rsidRPr="00D41133" w:rsidRDefault="0027188C">
            <w:pPr>
              <w:rPr>
                <w:i/>
                <w:iCs/>
              </w:rPr>
            </w:pPr>
            <w:r w:rsidRPr="00D41133">
              <w:rPr>
                <w:i/>
                <w:iCs/>
              </w:rPr>
              <w:t xml:space="preserve">Percentage of direct engagement achieved </w:t>
            </w:r>
          </w:p>
        </w:tc>
        <w:tc>
          <w:tcPr>
            <w:tcW w:w="2500" w:type="pct"/>
          </w:tcPr>
          <w:p w14:paraId="29FDC51A" w14:textId="5887FF8D" w:rsidR="0027188C" w:rsidRDefault="0027188C">
            <w:r>
              <w:t>As</w:t>
            </w:r>
            <w:r w:rsidRPr="005E0C7E">
              <w:t xml:space="preserve"> of </w:t>
            </w:r>
            <w:r>
              <w:t xml:space="preserve">April 2025, </w:t>
            </w:r>
            <w:r w:rsidRPr="005E0C7E">
              <w:t xml:space="preserve">we have 100% DE Compliance across the </w:t>
            </w:r>
            <w:r>
              <w:t>Trust</w:t>
            </w:r>
            <w:r w:rsidRPr="005E0C7E">
              <w:t>.</w:t>
            </w:r>
            <w:r>
              <w:t xml:space="preserve"> This figure will be updated on the next update of this document (</w:t>
            </w:r>
            <w:r w:rsidR="004202A4">
              <w:t xml:space="preserve">6 or 12 months from date of publication). </w:t>
            </w:r>
            <w:r>
              <w:t xml:space="preserve"> </w:t>
            </w:r>
          </w:p>
          <w:p w14:paraId="2E76B571" w14:textId="77777777" w:rsidR="004202A4" w:rsidRDefault="004202A4"/>
          <w:p w14:paraId="077F4E1D" w14:textId="77777777" w:rsidR="0027188C" w:rsidRPr="00156892" w:rsidRDefault="0027188C" w:rsidP="00D41133">
            <w:r>
              <w:t xml:space="preserve">Any requests for an up to date list at any time before the update is due will be exempted under Section 22 – Intended for future publication. </w:t>
            </w:r>
          </w:p>
          <w:p w14:paraId="5CE2B41A" w14:textId="77777777" w:rsidR="0027188C" w:rsidRPr="00122C53" w:rsidRDefault="0027188C"/>
        </w:tc>
      </w:tr>
      <w:tr w:rsidR="0027188C" w14:paraId="1B864326" w14:textId="77777777" w:rsidTr="0027188C">
        <w:tc>
          <w:tcPr>
            <w:tcW w:w="2500" w:type="pct"/>
          </w:tcPr>
          <w:p w14:paraId="4F70A54C" w14:textId="77777777" w:rsidR="0027188C" w:rsidRPr="00413DD3" w:rsidRDefault="0027188C" w:rsidP="007640CE">
            <w:r w:rsidRPr="00413DD3">
              <w:lastRenderedPageBreak/>
              <w:t xml:space="preserve">DIRECT-ENGAGEMENT </w:t>
            </w:r>
          </w:p>
          <w:p w14:paraId="0C8D7C5D" w14:textId="77777777" w:rsidR="0027188C" w:rsidRDefault="0027188C">
            <w:pPr>
              <w:rPr>
                <w:i/>
                <w:iCs/>
              </w:rPr>
            </w:pPr>
            <w:r w:rsidRPr="00D41133">
              <w:rPr>
                <w:i/>
                <w:iCs/>
              </w:rPr>
              <w:t>Does the organisation use a third party to provide a Direct Engagement/Outsourced Employment Solution? (This is where the NHS organisation sources agency staff via a recruitment agency but hold a direct contract between the organisation and the worker - there is often VAT savings associated to this employment model)</w:t>
            </w:r>
            <w:r w:rsidRPr="00D41133">
              <w:rPr>
                <w:i/>
                <w:iCs/>
              </w:rPr>
              <w:tab/>
            </w:r>
          </w:p>
          <w:p w14:paraId="2F823126" w14:textId="77777777" w:rsidR="0027188C" w:rsidRPr="00D41133" w:rsidRDefault="0027188C">
            <w:pPr>
              <w:rPr>
                <w:i/>
                <w:iCs/>
              </w:rPr>
            </w:pPr>
          </w:p>
        </w:tc>
        <w:tc>
          <w:tcPr>
            <w:tcW w:w="2500" w:type="pct"/>
          </w:tcPr>
          <w:p w14:paraId="30A43ECB" w14:textId="77777777" w:rsidR="0027188C" w:rsidRPr="00122C53" w:rsidRDefault="0027188C" w:rsidP="00C42ABB">
            <w:r>
              <w:t>YES</w:t>
            </w:r>
          </w:p>
        </w:tc>
      </w:tr>
      <w:tr w:rsidR="0027188C" w14:paraId="275D0BF2" w14:textId="77777777" w:rsidTr="0027188C">
        <w:tc>
          <w:tcPr>
            <w:tcW w:w="2500" w:type="pct"/>
          </w:tcPr>
          <w:p w14:paraId="08CAC8DF" w14:textId="77777777" w:rsidR="0027188C" w:rsidRPr="00413DD3" w:rsidRDefault="0027188C">
            <w:bookmarkStart w:id="0" w:name="_Hlk202181110"/>
            <w:r w:rsidRPr="00413DD3">
              <w:t xml:space="preserve">DIRECT-ENGAGEMENT </w:t>
            </w:r>
          </w:p>
          <w:p w14:paraId="7F83448C" w14:textId="77777777" w:rsidR="0027188C" w:rsidRDefault="0027188C">
            <w:pPr>
              <w:rPr>
                <w:i/>
                <w:iCs/>
              </w:rPr>
            </w:pPr>
            <w:r w:rsidRPr="00D41133">
              <w:rPr>
                <w:i/>
                <w:iCs/>
              </w:rPr>
              <w:t>Provider</w:t>
            </w:r>
          </w:p>
          <w:p w14:paraId="6688D219" w14:textId="77777777" w:rsidR="0027188C" w:rsidRPr="00D41133" w:rsidRDefault="0027188C">
            <w:pPr>
              <w:rPr>
                <w:i/>
                <w:iCs/>
              </w:rPr>
            </w:pPr>
          </w:p>
        </w:tc>
        <w:tc>
          <w:tcPr>
            <w:tcW w:w="2500" w:type="pct"/>
          </w:tcPr>
          <w:p w14:paraId="29F1070A" w14:textId="77777777" w:rsidR="0027188C" w:rsidRPr="00122C53" w:rsidRDefault="0027188C" w:rsidP="00C42ABB">
            <w:r w:rsidRPr="00122C53">
              <w:t>DE Provider is</w:t>
            </w:r>
            <w:r>
              <w:t xml:space="preserve"> Staff Direct/Allocate</w:t>
            </w:r>
          </w:p>
          <w:p w14:paraId="1EA7CB13" w14:textId="77777777" w:rsidR="0027188C" w:rsidRDefault="0027188C" w:rsidP="0027432E"/>
        </w:tc>
      </w:tr>
      <w:bookmarkEnd w:id="0"/>
      <w:tr w:rsidR="0027188C" w14:paraId="30743F0F" w14:textId="77777777" w:rsidTr="0027188C">
        <w:tc>
          <w:tcPr>
            <w:tcW w:w="2500" w:type="pct"/>
          </w:tcPr>
          <w:p w14:paraId="37A0053A" w14:textId="77777777" w:rsidR="0027188C" w:rsidRPr="00413DD3" w:rsidRDefault="0027188C" w:rsidP="00C42ABB">
            <w:r w:rsidRPr="00413DD3">
              <w:t xml:space="preserve">DIRECT-ENGAGEMENT </w:t>
            </w:r>
          </w:p>
          <w:p w14:paraId="10F55266" w14:textId="7EFAC71C" w:rsidR="0027188C" w:rsidRPr="00D41133" w:rsidRDefault="0027188C" w:rsidP="00C42ABB">
            <w:pPr>
              <w:rPr>
                <w:i/>
                <w:iCs/>
              </w:rPr>
            </w:pPr>
            <w:r w:rsidRPr="00D41133">
              <w:rPr>
                <w:i/>
                <w:iCs/>
              </w:rPr>
              <w:t>Staff Groups sourced</w:t>
            </w:r>
            <w:r>
              <w:rPr>
                <w:i/>
                <w:iCs/>
              </w:rPr>
              <w:t xml:space="preserve"> &amp; managed</w:t>
            </w:r>
          </w:p>
          <w:p w14:paraId="2E66BBBE" w14:textId="77777777" w:rsidR="0027188C" w:rsidRPr="00413DD3" w:rsidRDefault="0027188C"/>
        </w:tc>
        <w:tc>
          <w:tcPr>
            <w:tcW w:w="2500" w:type="pct"/>
          </w:tcPr>
          <w:p w14:paraId="5D368BF1" w14:textId="50105C7F" w:rsidR="0027188C" w:rsidRDefault="0027188C" w:rsidP="008B43F5">
            <w:r>
              <w:t>Medics &amp; Dentists;</w:t>
            </w:r>
            <w:r w:rsidRPr="00122C53">
              <w:t xml:space="preserve"> </w:t>
            </w:r>
          </w:p>
          <w:p w14:paraId="1BA8F4CB" w14:textId="1EB9504D" w:rsidR="0027188C" w:rsidRDefault="0027188C" w:rsidP="008B43F5">
            <w:r w:rsidRPr="00122C53">
              <w:t>N</w:t>
            </w:r>
            <w:r>
              <w:t>on-Medical Non-Clinical (N</w:t>
            </w:r>
            <w:r w:rsidRPr="00122C53">
              <w:t>MNC</w:t>
            </w:r>
            <w:r>
              <w:t>);</w:t>
            </w:r>
            <w:r w:rsidRPr="00122C53">
              <w:t xml:space="preserve"> </w:t>
            </w:r>
          </w:p>
          <w:p w14:paraId="375BCC86" w14:textId="77777777" w:rsidR="0027188C" w:rsidRDefault="0027188C" w:rsidP="008B43F5">
            <w:r w:rsidRPr="00122C53">
              <w:t>A</w:t>
            </w:r>
            <w:r>
              <w:t>llied Health Professionals (A</w:t>
            </w:r>
            <w:r w:rsidRPr="00122C53">
              <w:t>HP</w:t>
            </w:r>
            <w:r>
              <w:t xml:space="preserve">); </w:t>
            </w:r>
          </w:p>
          <w:p w14:paraId="7C64E781" w14:textId="77777777" w:rsidR="0027188C" w:rsidRDefault="0027188C" w:rsidP="008B43F5">
            <w:r>
              <w:t xml:space="preserve">Professional, Scientific &amp; Technical; </w:t>
            </w:r>
          </w:p>
          <w:p w14:paraId="18DD4243" w14:textId="1799A53E" w:rsidR="0027188C" w:rsidRDefault="0027188C" w:rsidP="00611C42">
            <w:r>
              <w:t>Healthcare Scientists</w:t>
            </w:r>
          </w:p>
          <w:p w14:paraId="363D33B4" w14:textId="7B43B39E" w:rsidR="0027188C" w:rsidRDefault="0027188C" w:rsidP="0027432E">
            <w:r w:rsidRPr="00122C53">
              <w:t> </w:t>
            </w:r>
          </w:p>
        </w:tc>
      </w:tr>
      <w:tr w:rsidR="0027188C" w14:paraId="7E02455A" w14:textId="77777777" w:rsidTr="0027188C">
        <w:trPr>
          <w:trHeight w:val="564"/>
        </w:trPr>
        <w:tc>
          <w:tcPr>
            <w:tcW w:w="2500" w:type="pct"/>
          </w:tcPr>
          <w:p w14:paraId="76A3F697" w14:textId="77777777" w:rsidR="0027188C" w:rsidRPr="00413DD3" w:rsidRDefault="0027188C">
            <w:r w:rsidRPr="00413DD3">
              <w:t>DIRECT-ENGAGEMENT PROVIDER</w:t>
            </w:r>
          </w:p>
          <w:p w14:paraId="2538636A" w14:textId="77777777" w:rsidR="0027188C" w:rsidRDefault="0027188C">
            <w:pPr>
              <w:rPr>
                <w:b/>
                <w:bCs/>
                <w:i/>
                <w:iCs/>
              </w:rPr>
            </w:pPr>
            <w:r w:rsidRPr="00D41133">
              <w:rPr>
                <w:i/>
                <w:iCs/>
              </w:rPr>
              <w:t>Contract start and end date</w:t>
            </w:r>
            <w:r w:rsidRPr="00D41133">
              <w:rPr>
                <w:b/>
                <w:bCs/>
                <w:i/>
                <w:iCs/>
              </w:rPr>
              <w:t xml:space="preserve"> </w:t>
            </w:r>
          </w:p>
          <w:p w14:paraId="7E26D56E" w14:textId="6E0B89B9" w:rsidR="0027188C" w:rsidRPr="0027188C" w:rsidRDefault="0027188C">
            <w:pPr>
              <w:rPr>
                <w:b/>
                <w:bCs/>
                <w:i/>
                <w:iCs/>
              </w:rPr>
            </w:pPr>
          </w:p>
        </w:tc>
        <w:tc>
          <w:tcPr>
            <w:tcW w:w="2500" w:type="pct"/>
          </w:tcPr>
          <w:p w14:paraId="6D0160C4" w14:textId="75460BCE" w:rsidR="0027188C" w:rsidRPr="006747D4" w:rsidRDefault="0027188C">
            <w:r w:rsidRPr="0027188C">
              <w:t>24/7 Time</w:t>
            </w:r>
            <w:r>
              <w:t xml:space="preserve">.  </w:t>
            </w:r>
            <w:r w:rsidRPr="0027188C">
              <w:t>Contract start date 01/03/23</w:t>
            </w:r>
            <w:r>
              <w:t xml:space="preserve">.  </w:t>
            </w:r>
            <w:r w:rsidRPr="0027188C">
              <w:t>Contract end date:  28/02/26</w:t>
            </w:r>
            <w:r>
              <w:t xml:space="preserve"> </w:t>
            </w:r>
          </w:p>
        </w:tc>
      </w:tr>
      <w:tr w:rsidR="0027188C" w14:paraId="27096286" w14:textId="77777777" w:rsidTr="0027188C">
        <w:tc>
          <w:tcPr>
            <w:tcW w:w="2500" w:type="pct"/>
          </w:tcPr>
          <w:p w14:paraId="7934AAC8" w14:textId="1802C7C5" w:rsidR="0027188C" w:rsidRPr="00D41133" w:rsidRDefault="0027188C" w:rsidP="00C42ABB">
            <w:pPr>
              <w:rPr>
                <w:i/>
                <w:iCs/>
              </w:rPr>
            </w:pPr>
            <w:r>
              <w:t xml:space="preserve">FRAMEWORK </w:t>
            </w:r>
          </w:p>
        </w:tc>
        <w:tc>
          <w:tcPr>
            <w:tcW w:w="2500" w:type="pct"/>
          </w:tcPr>
          <w:p w14:paraId="46AF0027" w14:textId="052411A1" w:rsidR="0027188C" w:rsidRDefault="0027188C" w:rsidP="00E673F8">
            <w:r>
              <w:t xml:space="preserve">NHS </w:t>
            </w:r>
            <w:r w:rsidRPr="00E673F8">
              <w:t>Workforce Alliance RM6281</w:t>
            </w:r>
          </w:p>
          <w:p w14:paraId="4103C17E" w14:textId="1B14BBF9" w:rsidR="0027188C" w:rsidRPr="00E673F8" w:rsidRDefault="0027188C" w:rsidP="00E673F8">
            <w:r>
              <w:t xml:space="preserve">Please see </w:t>
            </w:r>
            <w:hyperlink r:id="rId9" w:history="1">
              <w:r w:rsidRPr="005104B9">
                <w:rPr>
                  <w:rStyle w:val="Hyperlink"/>
                </w:rPr>
                <w:t>Clinical and Healthcare Staffing - NHS Workforce Alliance</w:t>
              </w:r>
            </w:hyperlink>
          </w:p>
          <w:p w14:paraId="3A11A068" w14:textId="77777777" w:rsidR="0027188C" w:rsidRPr="00BA1253" w:rsidRDefault="0027188C" w:rsidP="00270036"/>
        </w:tc>
      </w:tr>
      <w:tr w:rsidR="0027188C" w14:paraId="5165B2B9" w14:textId="77777777" w:rsidTr="0027188C">
        <w:tc>
          <w:tcPr>
            <w:tcW w:w="2500" w:type="pct"/>
          </w:tcPr>
          <w:p w14:paraId="1ED2D0FF" w14:textId="77777777" w:rsidR="0027188C" w:rsidRPr="00413DD3" w:rsidRDefault="0027188C">
            <w:bookmarkStart w:id="1" w:name="_Hlk199929158"/>
            <w:r w:rsidRPr="00413DD3">
              <w:t>INTERNATIONAL RECRUITMENT</w:t>
            </w:r>
          </w:p>
          <w:p w14:paraId="2E15703E" w14:textId="2C19A988" w:rsidR="0027188C" w:rsidRPr="00413DD3" w:rsidRDefault="0027188C">
            <w:r w:rsidRPr="00D41133">
              <w:rPr>
                <w:i/>
                <w:iCs/>
              </w:rPr>
              <w:t>General Information</w:t>
            </w:r>
          </w:p>
        </w:tc>
        <w:tc>
          <w:tcPr>
            <w:tcW w:w="2500" w:type="pct"/>
          </w:tcPr>
          <w:p w14:paraId="31E43944" w14:textId="661F55DD" w:rsidR="0027188C" w:rsidRDefault="0027188C" w:rsidP="00291DE8">
            <w:r w:rsidRPr="00913277">
              <w:t xml:space="preserve">The </w:t>
            </w:r>
            <w:r>
              <w:t>Trust</w:t>
            </w:r>
            <w:r w:rsidRPr="00DD0B18">
              <w:t xml:space="preserve"> uses King’s Commercial </w:t>
            </w:r>
            <w:r>
              <w:t>S</w:t>
            </w:r>
            <w:r w:rsidRPr="00DD0B18">
              <w:t>ervices</w:t>
            </w:r>
            <w:r w:rsidRPr="00913277">
              <w:t>,</w:t>
            </w:r>
            <w:r w:rsidRPr="00DD0B18">
              <w:t xml:space="preserve"> a solely owned subsidiary of King’s</w:t>
            </w:r>
            <w:r w:rsidRPr="00913277">
              <w:t>,</w:t>
            </w:r>
            <w:r w:rsidRPr="00DD0B18">
              <w:t xml:space="preserve"> for its recruitment of international nurses</w:t>
            </w:r>
            <w:r>
              <w:t xml:space="preserve">. </w:t>
            </w:r>
            <w:r w:rsidRPr="00611C42">
              <w:rPr>
                <w:b/>
                <w:bCs/>
                <w:i/>
                <w:iCs/>
              </w:rPr>
              <w:t>Paused however in April 2024.</w:t>
            </w:r>
            <w:r>
              <w:t xml:space="preserve"> </w:t>
            </w:r>
          </w:p>
          <w:p w14:paraId="0C622A47" w14:textId="77777777" w:rsidR="0027188C" w:rsidRPr="00913277" w:rsidRDefault="0027188C" w:rsidP="00291DE8">
            <w:r>
              <w:t xml:space="preserve">There is no framework used. </w:t>
            </w:r>
          </w:p>
          <w:p w14:paraId="2CFCAC01" w14:textId="77777777" w:rsidR="0027188C" w:rsidRPr="00DD0B18" w:rsidRDefault="0027188C" w:rsidP="00291DE8">
            <w:pPr>
              <w:ind w:left="1800"/>
            </w:pPr>
          </w:p>
          <w:p w14:paraId="745F5D67" w14:textId="0DF7385D" w:rsidR="0027188C" w:rsidRDefault="0027188C" w:rsidP="00291DE8">
            <w:r>
              <w:t xml:space="preserve">The Trust is </w:t>
            </w:r>
            <w:r w:rsidRPr="00DD0B18">
              <w:t xml:space="preserve">part of the Capital AHP/Midwife project </w:t>
            </w:r>
            <w:r>
              <w:t>f</w:t>
            </w:r>
            <w:r w:rsidRPr="00DD0B18">
              <w:t xml:space="preserve">or </w:t>
            </w:r>
            <w:r>
              <w:t xml:space="preserve">the recruitment of </w:t>
            </w:r>
            <w:r w:rsidRPr="00DD0B18">
              <w:t>midwives and A</w:t>
            </w:r>
            <w:r>
              <w:t xml:space="preserve">llied </w:t>
            </w:r>
            <w:r w:rsidRPr="00DD0B18">
              <w:t>H</w:t>
            </w:r>
            <w:r>
              <w:t xml:space="preserve">ealth </w:t>
            </w:r>
            <w:r w:rsidRPr="00DD0B18">
              <w:t>P</w:t>
            </w:r>
            <w:r>
              <w:t>rofessionals.</w:t>
            </w:r>
            <w:r w:rsidRPr="00DD0B18">
              <w:t xml:space="preserve"> </w:t>
            </w:r>
            <w:r w:rsidRPr="00FF31D3">
              <w:t>CapitalAHP is jointly led by Health Education England (HEE) and NHS England and NHS Improvement (NHSE/I).</w:t>
            </w:r>
          </w:p>
          <w:p w14:paraId="098F3DB8" w14:textId="77777777" w:rsidR="0027188C" w:rsidRDefault="0027188C" w:rsidP="00291DE8">
            <w:pPr>
              <w:ind w:left="1440"/>
            </w:pPr>
          </w:p>
          <w:p w14:paraId="4DA3E9B9" w14:textId="1B62AFCA" w:rsidR="0027188C" w:rsidRPr="00913277" w:rsidRDefault="0027188C" w:rsidP="00291DE8">
            <w:r>
              <w:t>CapitalAHP</w:t>
            </w:r>
            <w:r w:rsidRPr="00DD0B18">
              <w:t xml:space="preserve"> will be able to provide details of the assigned agencies.</w:t>
            </w:r>
            <w:r>
              <w:t xml:space="preserve"> More information regarding the project is available at the following link: </w:t>
            </w:r>
            <w:hyperlink r:id="rId10" w:history="1">
              <w:r w:rsidRPr="00FF31D3">
                <w:rPr>
                  <w:rStyle w:val="Hyperlink"/>
                </w:rPr>
                <w:t>CapitalAHP | NHS England | Workforce, training and education (hee.nhs.uk)</w:t>
              </w:r>
            </w:hyperlink>
          </w:p>
        </w:tc>
      </w:tr>
      <w:bookmarkEnd w:id="1"/>
      <w:tr w:rsidR="0027188C" w14:paraId="1ABE7B8C" w14:textId="77777777" w:rsidTr="00DD0CF9">
        <w:trPr>
          <w:trHeight w:val="2819"/>
        </w:trPr>
        <w:tc>
          <w:tcPr>
            <w:tcW w:w="2500" w:type="pct"/>
          </w:tcPr>
          <w:p w14:paraId="0164C137" w14:textId="77777777" w:rsidR="0027188C" w:rsidRPr="00413DD3" w:rsidRDefault="0027188C" w:rsidP="00291DE8">
            <w:r w:rsidRPr="00413DD3">
              <w:lastRenderedPageBreak/>
              <w:t>INTERNATIONAL RECRUITMENT</w:t>
            </w:r>
          </w:p>
          <w:p w14:paraId="11550D30" w14:textId="77777777" w:rsidR="0027188C" w:rsidRPr="00D41133" w:rsidRDefault="0027188C">
            <w:pPr>
              <w:rPr>
                <w:i/>
                <w:iCs/>
              </w:rPr>
            </w:pPr>
            <w:r w:rsidRPr="00D41133">
              <w:rPr>
                <w:i/>
                <w:iCs/>
              </w:rPr>
              <w:t>Numbers of staff employed</w:t>
            </w:r>
          </w:p>
          <w:p w14:paraId="06E79261" w14:textId="77777777" w:rsidR="0027188C" w:rsidRPr="00413DD3" w:rsidRDefault="0027188C"/>
          <w:p w14:paraId="4DAF3B30" w14:textId="69A76399" w:rsidR="0027188C" w:rsidRPr="00D41133" w:rsidRDefault="0027188C">
            <w:pPr>
              <w:rPr>
                <w:i/>
                <w:iCs/>
              </w:rPr>
            </w:pPr>
          </w:p>
        </w:tc>
        <w:tc>
          <w:tcPr>
            <w:tcW w:w="2500" w:type="pct"/>
          </w:tcPr>
          <w:p w14:paraId="270A4F78" w14:textId="53917C4E" w:rsidR="0027188C" w:rsidRDefault="0027188C" w:rsidP="00B1358F">
            <w:r w:rsidRPr="00413DD3">
              <w:rPr>
                <w:u w:val="single"/>
              </w:rPr>
              <w:t>Please note</w:t>
            </w:r>
            <w:r>
              <w:rPr>
                <w:color w:val="FF0000"/>
              </w:rPr>
              <w:t xml:space="preserve">:  </w:t>
            </w:r>
            <w:r w:rsidRPr="00D82D5C">
              <w:t>R</w:t>
            </w:r>
            <w:r w:rsidRPr="00DD0B18">
              <w:t>ecords are only recorded for those individuals recruited as part of managed campaigns; other staff may</w:t>
            </w:r>
            <w:r>
              <w:t xml:space="preserve"> </w:t>
            </w:r>
            <w:r w:rsidRPr="00DD0B18">
              <w:t xml:space="preserve">be recruited as part of a normal recruitment episode which is not </w:t>
            </w:r>
            <w:r w:rsidRPr="00D82D5C">
              <w:t xml:space="preserve">centrally </w:t>
            </w:r>
            <w:r w:rsidRPr="00DD0B18">
              <w:t xml:space="preserve">logged. </w:t>
            </w:r>
          </w:p>
          <w:tbl>
            <w:tblPr>
              <w:tblStyle w:val="TableGrid"/>
              <w:tblpPr w:leftFromText="180" w:rightFromText="180" w:vertAnchor="text" w:horzAnchor="margin" w:tblpY="415"/>
              <w:tblOverlap w:val="never"/>
              <w:tblW w:w="5000" w:type="pct"/>
              <w:tblLook w:val="04A0" w:firstRow="1" w:lastRow="0" w:firstColumn="1" w:lastColumn="0" w:noHBand="0" w:noVBand="1"/>
            </w:tblPr>
            <w:tblGrid>
              <w:gridCol w:w="1995"/>
              <w:gridCol w:w="1957"/>
              <w:gridCol w:w="1692"/>
              <w:gridCol w:w="1824"/>
            </w:tblGrid>
            <w:tr w:rsidR="00DD0CF9" w:rsidRPr="00413DD3" w14:paraId="40AFC1CA" w14:textId="77777777" w:rsidTr="00DD0CF9">
              <w:tc>
                <w:tcPr>
                  <w:tcW w:w="1336" w:type="pct"/>
                </w:tcPr>
                <w:p w14:paraId="23600DEE" w14:textId="77777777" w:rsidR="00DD0CF9" w:rsidRPr="00413DD3" w:rsidRDefault="00DD0CF9" w:rsidP="00DD0CF9"/>
              </w:tc>
              <w:tc>
                <w:tcPr>
                  <w:tcW w:w="1310" w:type="pct"/>
                  <w:shd w:val="clear" w:color="auto" w:fill="D1D1D1" w:themeFill="background2" w:themeFillShade="E6"/>
                </w:tcPr>
                <w:p w14:paraId="370329F8" w14:textId="77777777" w:rsidR="00DD0CF9" w:rsidRPr="00413DD3" w:rsidRDefault="00DD0CF9" w:rsidP="00DD0CF9">
                  <w:pPr>
                    <w:jc w:val="center"/>
                  </w:pPr>
                  <w:r w:rsidRPr="00413DD3">
                    <w:t>2023-24</w:t>
                  </w:r>
                </w:p>
              </w:tc>
              <w:tc>
                <w:tcPr>
                  <w:tcW w:w="1133" w:type="pct"/>
                  <w:shd w:val="clear" w:color="auto" w:fill="D1D1D1" w:themeFill="background2" w:themeFillShade="E6"/>
                </w:tcPr>
                <w:p w14:paraId="0F6DE604" w14:textId="77777777" w:rsidR="00DD0CF9" w:rsidRPr="00413DD3" w:rsidRDefault="00DD0CF9" w:rsidP="00DD0CF9">
                  <w:pPr>
                    <w:jc w:val="center"/>
                  </w:pPr>
                  <w:r w:rsidRPr="00413DD3">
                    <w:t>2024-2025</w:t>
                  </w:r>
                </w:p>
              </w:tc>
              <w:tc>
                <w:tcPr>
                  <w:tcW w:w="1221" w:type="pct"/>
                  <w:shd w:val="clear" w:color="auto" w:fill="D1D1D1" w:themeFill="background2" w:themeFillShade="E6"/>
                </w:tcPr>
                <w:p w14:paraId="061DCF8B" w14:textId="77777777" w:rsidR="00DD0CF9" w:rsidRPr="00413DD3" w:rsidRDefault="00DD0CF9" w:rsidP="00DD0CF9">
                  <w:pPr>
                    <w:jc w:val="center"/>
                  </w:pPr>
                  <w:r w:rsidRPr="00413DD3">
                    <w:t>2025-26</w:t>
                  </w:r>
                </w:p>
              </w:tc>
            </w:tr>
            <w:tr w:rsidR="00DD0CF9" w:rsidRPr="00413DD3" w14:paraId="57F591E1" w14:textId="77777777" w:rsidTr="00DD0CF9">
              <w:tc>
                <w:tcPr>
                  <w:tcW w:w="1336" w:type="pct"/>
                </w:tcPr>
                <w:p w14:paraId="31AA485D" w14:textId="77777777" w:rsidR="00DD0CF9" w:rsidRPr="00413DD3" w:rsidRDefault="00DD0CF9" w:rsidP="00DD0CF9">
                  <w:r w:rsidRPr="00413DD3">
                    <w:t>Nurses</w:t>
                  </w:r>
                </w:p>
              </w:tc>
              <w:tc>
                <w:tcPr>
                  <w:tcW w:w="1310" w:type="pct"/>
                  <w:shd w:val="clear" w:color="auto" w:fill="auto"/>
                </w:tcPr>
                <w:p w14:paraId="6CA6D36D" w14:textId="77777777" w:rsidR="00DD0CF9" w:rsidRPr="00413DD3" w:rsidRDefault="00DD0CF9" w:rsidP="00DD0CF9">
                  <w:r>
                    <w:t>247</w:t>
                  </w:r>
                </w:p>
              </w:tc>
              <w:tc>
                <w:tcPr>
                  <w:tcW w:w="1133" w:type="pct"/>
                  <w:vMerge w:val="restart"/>
                  <w:shd w:val="clear" w:color="auto" w:fill="auto"/>
                </w:tcPr>
                <w:p w14:paraId="5709ECEA" w14:textId="77777777" w:rsidR="00DD0CF9" w:rsidRPr="00C94F4C" w:rsidRDefault="00DD0CF9" w:rsidP="00DD0CF9">
                  <w:r w:rsidRPr="00C94F4C">
                    <w:t>No international recruitment this year</w:t>
                  </w:r>
                </w:p>
              </w:tc>
              <w:tc>
                <w:tcPr>
                  <w:tcW w:w="1221" w:type="pct"/>
                  <w:vMerge w:val="restart"/>
                </w:tcPr>
                <w:p w14:paraId="32D2B1A3" w14:textId="77777777" w:rsidR="00DD0CF9" w:rsidRPr="00413DD3" w:rsidRDefault="00DD0CF9" w:rsidP="00DD0CF9">
                  <w:r w:rsidRPr="00413DD3">
                    <w:t xml:space="preserve">No international recruitment this year </w:t>
                  </w:r>
                </w:p>
              </w:tc>
            </w:tr>
            <w:tr w:rsidR="00DD0CF9" w:rsidRPr="00413DD3" w14:paraId="23D131FA" w14:textId="77777777" w:rsidTr="00DD0CF9">
              <w:tc>
                <w:tcPr>
                  <w:tcW w:w="1336" w:type="pct"/>
                </w:tcPr>
                <w:p w14:paraId="02EA5283" w14:textId="77777777" w:rsidR="00DD0CF9" w:rsidRPr="00413DD3" w:rsidRDefault="00DD0CF9" w:rsidP="00DD0CF9">
                  <w:r w:rsidRPr="00413DD3">
                    <w:t xml:space="preserve">AHP’s </w:t>
                  </w:r>
                </w:p>
              </w:tc>
              <w:tc>
                <w:tcPr>
                  <w:tcW w:w="1310" w:type="pct"/>
                  <w:shd w:val="clear" w:color="auto" w:fill="auto"/>
                </w:tcPr>
                <w:p w14:paraId="726C2309" w14:textId="77777777" w:rsidR="00DD0CF9" w:rsidRPr="00413DD3" w:rsidRDefault="00DD0CF9" w:rsidP="00DD0CF9">
                  <w:r>
                    <w:t xml:space="preserve">35 </w:t>
                  </w:r>
                  <w:r w:rsidRPr="0009270F">
                    <w:t>OPD's/OT's and a Radiographer</w:t>
                  </w:r>
                </w:p>
              </w:tc>
              <w:tc>
                <w:tcPr>
                  <w:tcW w:w="1133" w:type="pct"/>
                  <w:vMerge/>
                  <w:shd w:val="clear" w:color="auto" w:fill="auto"/>
                </w:tcPr>
                <w:p w14:paraId="3988F9FF" w14:textId="77777777" w:rsidR="00DD0CF9" w:rsidRPr="00C94F4C" w:rsidRDefault="00DD0CF9" w:rsidP="00DD0CF9"/>
              </w:tc>
              <w:tc>
                <w:tcPr>
                  <w:tcW w:w="1221" w:type="pct"/>
                  <w:vMerge/>
                </w:tcPr>
                <w:p w14:paraId="56EB816E" w14:textId="77777777" w:rsidR="00DD0CF9" w:rsidRPr="00413DD3" w:rsidRDefault="00DD0CF9" w:rsidP="00DD0CF9"/>
              </w:tc>
            </w:tr>
          </w:tbl>
          <w:p w14:paraId="1C2CD270" w14:textId="77777777" w:rsidR="00DD0CF9" w:rsidRPr="0027188C" w:rsidRDefault="00DD0CF9" w:rsidP="00B1358F"/>
          <w:p w14:paraId="68C958E6" w14:textId="77777777" w:rsidR="0027188C" w:rsidRPr="008F22D6" w:rsidRDefault="0027188C" w:rsidP="00B1358F">
            <w:pPr>
              <w:rPr>
                <w:color w:val="FF0000"/>
              </w:rPr>
            </w:pPr>
          </w:p>
        </w:tc>
      </w:tr>
      <w:tr w:rsidR="0027188C" w14:paraId="7CF40E71" w14:textId="77777777" w:rsidTr="0027188C">
        <w:trPr>
          <w:trHeight w:val="696"/>
        </w:trPr>
        <w:tc>
          <w:tcPr>
            <w:tcW w:w="2500" w:type="pct"/>
          </w:tcPr>
          <w:p w14:paraId="47B672AB" w14:textId="77777777" w:rsidR="0027188C" w:rsidRPr="00413DD3" w:rsidRDefault="0027188C" w:rsidP="00AE2F85">
            <w:r w:rsidRPr="00413DD3">
              <w:t>INTERNATIONAL RECRUITMENT</w:t>
            </w:r>
          </w:p>
          <w:p w14:paraId="3D59F3C5" w14:textId="77777777" w:rsidR="0027188C" w:rsidRPr="00D41133" w:rsidRDefault="0027188C" w:rsidP="00AE2F85">
            <w:pPr>
              <w:rPr>
                <w:i/>
                <w:iCs/>
              </w:rPr>
            </w:pPr>
            <w:r w:rsidRPr="00D41133">
              <w:rPr>
                <w:i/>
                <w:iCs/>
              </w:rPr>
              <w:t xml:space="preserve">Doctors </w:t>
            </w:r>
          </w:p>
          <w:p w14:paraId="79B100C9" w14:textId="77777777" w:rsidR="0027188C" w:rsidRPr="00413DD3" w:rsidRDefault="0027188C" w:rsidP="00835A30"/>
        </w:tc>
        <w:tc>
          <w:tcPr>
            <w:tcW w:w="2500" w:type="pct"/>
          </w:tcPr>
          <w:p w14:paraId="77D40A5D" w14:textId="05A78192" w:rsidR="0027188C" w:rsidRPr="00AE2F85" w:rsidRDefault="0027188C" w:rsidP="00AE2F85">
            <w:pPr>
              <w:rPr>
                <w:rFonts w:ascii="Calibri" w:eastAsia="Aptos" w:hAnsi="Calibri" w:cs="Calibri"/>
                <w:kern w:val="0"/>
              </w:rPr>
            </w:pPr>
            <w:r>
              <w:rPr>
                <w:rFonts w:ascii="Calibri" w:eastAsia="Aptos" w:hAnsi="Calibri" w:cs="Calibri"/>
                <w:kern w:val="0"/>
              </w:rPr>
              <w:t>T</w:t>
            </w:r>
            <w:r w:rsidRPr="00AE2F85">
              <w:rPr>
                <w:rFonts w:ascii="Calibri" w:eastAsia="Aptos" w:hAnsi="Calibri" w:cs="Calibri"/>
                <w:kern w:val="0"/>
              </w:rPr>
              <w:t xml:space="preserve">he </w:t>
            </w:r>
            <w:r>
              <w:rPr>
                <w:rFonts w:ascii="Calibri" w:eastAsia="Aptos" w:hAnsi="Calibri" w:cs="Calibri"/>
                <w:kern w:val="0"/>
              </w:rPr>
              <w:t>Trust</w:t>
            </w:r>
            <w:r w:rsidRPr="00AE2F85">
              <w:rPr>
                <w:rFonts w:ascii="Calibri" w:eastAsia="Aptos" w:hAnsi="Calibri" w:cs="Calibri"/>
                <w:kern w:val="0"/>
              </w:rPr>
              <w:t xml:space="preserve"> do not conduct international recruitment campaigns for doctors.</w:t>
            </w:r>
          </w:p>
          <w:p w14:paraId="3C9C84C9" w14:textId="77777777" w:rsidR="0027188C" w:rsidRPr="008F22D6" w:rsidRDefault="0027188C" w:rsidP="00B1358F">
            <w:pPr>
              <w:rPr>
                <w:color w:val="FF0000"/>
              </w:rPr>
            </w:pPr>
          </w:p>
        </w:tc>
      </w:tr>
      <w:tr w:rsidR="0027188C" w14:paraId="287E9533" w14:textId="77777777" w:rsidTr="0027188C">
        <w:trPr>
          <w:trHeight w:val="428"/>
        </w:trPr>
        <w:tc>
          <w:tcPr>
            <w:tcW w:w="2500" w:type="pct"/>
          </w:tcPr>
          <w:p w14:paraId="78FA0266" w14:textId="77777777" w:rsidR="0027188C" w:rsidRPr="00413DD3" w:rsidRDefault="0027188C" w:rsidP="00AE2F85">
            <w:r w:rsidRPr="00413DD3">
              <w:t>KING’S STAFFING CONTACTS</w:t>
            </w:r>
          </w:p>
          <w:p w14:paraId="5E7794EE" w14:textId="77777777" w:rsidR="0027188C" w:rsidRPr="00413DD3" w:rsidRDefault="0027188C" w:rsidP="00AE2F85"/>
        </w:tc>
        <w:tc>
          <w:tcPr>
            <w:tcW w:w="2500" w:type="pct"/>
          </w:tcPr>
          <w:p w14:paraId="25A81E37" w14:textId="77777777" w:rsidR="0027188C" w:rsidRDefault="0027188C" w:rsidP="00AE2F85">
            <w:pPr>
              <w:rPr>
                <w:rFonts w:cs="Calibri"/>
              </w:rPr>
            </w:pPr>
            <w:r w:rsidRPr="008F22D6">
              <w:rPr>
                <w:color w:val="FF0000"/>
              </w:rPr>
              <w:t xml:space="preserve">Please note – we do not give out </w:t>
            </w:r>
            <w:r w:rsidRPr="008F22D6">
              <w:rPr>
                <w:b/>
                <w:bCs/>
                <w:color w:val="FF0000"/>
              </w:rPr>
              <w:t xml:space="preserve">ANY </w:t>
            </w:r>
            <w:r w:rsidRPr="008F22D6">
              <w:rPr>
                <w:color w:val="FF0000"/>
              </w:rPr>
              <w:t>staff names</w:t>
            </w:r>
            <w:r>
              <w:rPr>
                <w:color w:val="FF0000"/>
              </w:rPr>
              <w:t xml:space="preserve">, </w:t>
            </w:r>
            <w:r w:rsidRPr="008F22D6">
              <w:rPr>
                <w:color w:val="FF0000"/>
              </w:rPr>
              <w:t>email addresses</w:t>
            </w:r>
            <w:r>
              <w:rPr>
                <w:color w:val="FF0000"/>
              </w:rPr>
              <w:t xml:space="preserve">, </w:t>
            </w:r>
            <w:r w:rsidRPr="008F22D6">
              <w:rPr>
                <w:color w:val="FF0000"/>
              </w:rPr>
              <w:t>phone numbers</w:t>
            </w:r>
            <w:r>
              <w:rPr>
                <w:color w:val="FF0000"/>
              </w:rPr>
              <w:t xml:space="preserve"> for staff whose roles are </w:t>
            </w:r>
            <w:r w:rsidRPr="008F22D6">
              <w:rPr>
                <w:color w:val="FF0000"/>
              </w:rPr>
              <w:t xml:space="preserve">in bank, agency, temporary, permanent </w:t>
            </w:r>
            <w:r>
              <w:rPr>
                <w:color w:val="FF0000"/>
              </w:rPr>
              <w:t>or any other category or department of staffing. Any request requiring such information will be directed here:</w:t>
            </w:r>
          </w:p>
          <w:p w14:paraId="3D9BF4AE" w14:textId="77777777" w:rsidR="0027188C" w:rsidRDefault="0027188C" w:rsidP="00AE2F85">
            <w:pPr>
              <w:rPr>
                <w:rFonts w:cs="Calibri"/>
              </w:rPr>
            </w:pPr>
          </w:p>
          <w:p w14:paraId="230682BE" w14:textId="73C576F9" w:rsidR="0027188C" w:rsidRPr="00193267" w:rsidRDefault="0027188C" w:rsidP="00AE2F85">
            <w:pPr>
              <w:rPr>
                <w:rFonts w:cs="Calibri"/>
              </w:rPr>
            </w:pPr>
            <w:r w:rsidRPr="00193267">
              <w:rPr>
                <w:rFonts w:cs="Calibri"/>
              </w:rPr>
              <w:t xml:space="preserve">The names of staff in senior or public facing roles are available on the </w:t>
            </w:r>
            <w:r>
              <w:rPr>
                <w:rFonts w:cs="Calibri"/>
              </w:rPr>
              <w:t>Trust</w:t>
            </w:r>
            <w:r w:rsidRPr="00193267">
              <w:rPr>
                <w:rFonts w:cs="Calibri"/>
              </w:rPr>
              <w:t xml:space="preserve">’s website at the following links: </w:t>
            </w:r>
          </w:p>
          <w:p w14:paraId="4BD26A18" w14:textId="77777777" w:rsidR="0027188C" w:rsidRPr="00193267" w:rsidRDefault="0027188C" w:rsidP="00AE2F85">
            <w:pPr>
              <w:ind w:left="720"/>
              <w:rPr>
                <w:rFonts w:cs="Calibri"/>
                <w:color w:val="44546A"/>
              </w:rPr>
            </w:pPr>
          </w:p>
          <w:p w14:paraId="623D07F6" w14:textId="77777777" w:rsidR="0027188C" w:rsidRPr="00193267" w:rsidRDefault="0027188C" w:rsidP="00AE2F85">
            <w:pPr>
              <w:rPr>
                <w:rFonts w:cs="Calibri"/>
              </w:rPr>
            </w:pPr>
            <w:hyperlink r:id="rId11" w:history="1">
              <w:r w:rsidRPr="00193267">
                <w:rPr>
                  <w:rStyle w:val="Hyperlink"/>
                  <w:rFonts w:cs="Calibri"/>
                </w:rPr>
                <w:t>Corporate Structure</w:t>
              </w:r>
            </w:hyperlink>
          </w:p>
          <w:p w14:paraId="5A676220" w14:textId="77777777" w:rsidR="0027188C" w:rsidRPr="00193267" w:rsidRDefault="0027188C" w:rsidP="00AE2F85">
            <w:pPr>
              <w:ind w:left="720"/>
              <w:rPr>
                <w:rFonts w:cs="Calibri"/>
                <w:color w:val="44546A"/>
              </w:rPr>
            </w:pPr>
          </w:p>
          <w:p w14:paraId="4B2C45D5" w14:textId="77777777" w:rsidR="0027188C" w:rsidRPr="00193267" w:rsidRDefault="0027188C" w:rsidP="00AE2F85">
            <w:pPr>
              <w:rPr>
                <w:rFonts w:cs="Calibri"/>
              </w:rPr>
            </w:pPr>
            <w:hyperlink r:id="rId12" w:history="1">
              <w:r w:rsidRPr="00193267">
                <w:rPr>
                  <w:rStyle w:val="Hyperlink"/>
                  <w:rFonts w:cs="Calibri"/>
                </w:rPr>
                <w:t>Services A - Z</w:t>
              </w:r>
            </w:hyperlink>
          </w:p>
          <w:p w14:paraId="7C7FDEE8" w14:textId="77777777" w:rsidR="0027188C" w:rsidRPr="00193267" w:rsidRDefault="0027188C" w:rsidP="00AE2F85">
            <w:pPr>
              <w:ind w:left="720"/>
              <w:rPr>
                <w:rFonts w:cs="Calibri"/>
              </w:rPr>
            </w:pPr>
          </w:p>
          <w:p w14:paraId="50976503" w14:textId="6CC7B39C" w:rsidR="0027188C" w:rsidRDefault="0027188C" w:rsidP="00AE2F85">
            <w:pPr>
              <w:rPr>
                <w:rFonts w:cs="Calibri"/>
              </w:rPr>
            </w:pPr>
            <w:r w:rsidRPr="00193267">
              <w:rPr>
                <w:rFonts w:cs="Calibri"/>
              </w:rPr>
              <w:t xml:space="preserve">It is </w:t>
            </w:r>
            <w:r>
              <w:rPr>
                <w:rFonts w:cs="Calibri"/>
              </w:rPr>
              <w:t>Trust</w:t>
            </w:r>
            <w:r w:rsidRPr="00193267">
              <w:rPr>
                <w:rFonts w:cs="Calibri"/>
              </w:rPr>
              <w:t xml:space="preserve"> policy to not give out other staff names, personal email addresses and contact details.  This policy helps protect </w:t>
            </w:r>
            <w:r>
              <w:rPr>
                <w:rFonts w:cs="Calibri"/>
              </w:rPr>
              <w:t>Trust</w:t>
            </w:r>
            <w:r w:rsidRPr="00193267">
              <w:rPr>
                <w:rFonts w:cs="Calibri"/>
              </w:rPr>
              <w:t xml:space="preserve"> staff from unsolicited emails and correspondence not directly related to their role and the work they are doing. You can of course call the main </w:t>
            </w:r>
            <w:r>
              <w:rPr>
                <w:rFonts w:cs="Calibri"/>
              </w:rPr>
              <w:t>Trust</w:t>
            </w:r>
            <w:r w:rsidRPr="00193267">
              <w:rPr>
                <w:rFonts w:cs="Calibri"/>
              </w:rPr>
              <w:t xml:space="preserve"> switchboard on 020 3299 9000. </w:t>
            </w:r>
          </w:p>
          <w:p w14:paraId="0F0768B1" w14:textId="77777777" w:rsidR="0027188C" w:rsidRPr="008F22D6" w:rsidRDefault="0027188C" w:rsidP="00AE2F85">
            <w:pPr>
              <w:rPr>
                <w:color w:val="FF0000"/>
              </w:rPr>
            </w:pPr>
          </w:p>
        </w:tc>
      </w:tr>
      <w:tr w:rsidR="0027188C" w14:paraId="255D290B" w14:textId="77777777" w:rsidTr="0027188C">
        <w:trPr>
          <w:trHeight w:val="70"/>
        </w:trPr>
        <w:tc>
          <w:tcPr>
            <w:tcW w:w="2500" w:type="pct"/>
          </w:tcPr>
          <w:p w14:paraId="28055867" w14:textId="77777777" w:rsidR="0027188C" w:rsidRPr="00413DD3" w:rsidRDefault="0027188C" w:rsidP="00AE2F85">
            <w:r w:rsidRPr="00413DD3">
              <w:t>MASTER VENDOR, NEUTRAL VENDOR</w:t>
            </w:r>
          </w:p>
          <w:p w14:paraId="621E3EF0" w14:textId="33FE8BDC" w:rsidR="0027188C" w:rsidRPr="00AB37F6" w:rsidRDefault="0027188C" w:rsidP="00AE2F85">
            <w:pPr>
              <w:rPr>
                <w:i/>
                <w:iCs/>
              </w:rPr>
            </w:pPr>
            <w:r w:rsidRPr="00D41133">
              <w:rPr>
                <w:i/>
                <w:iCs/>
              </w:rPr>
              <w:t>Name of 3</w:t>
            </w:r>
            <w:r w:rsidRPr="00D41133">
              <w:rPr>
                <w:i/>
                <w:iCs/>
                <w:vertAlign w:val="superscript"/>
              </w:rPr>
              <w:t>rd</w:t>
            </w:r>
            <w:r w:rsidRPr="00D41133">
              <w:rPr>
                <w:i/>
                <w:iCs/>
              </w:rPr>
              <w:t xml:space="preserve"> party agency management</w:t>
            </w:r>
          </w:p>
        </w:tc>
        <w:tc>
          <w:tcPr>
            <w:tcW w:w="2500" w:type="pct"/>
          </w:tcPr>
          <w:p w14:paraId="7B8DD4E1" w14:textId="3FE89545" w:rsidR="0027188C" w:rsidRPr="000D7DAE" w:rsidRDefault="0027188C" w:rsidP="00ED6D22">
            <w:pPr>
              <w:rPr>
                <w:b/>
                <w:bCs/>
              </w:rPr>
            </w:pPr>
            <w:r w:rsidRPr="000D7DAE">
              <w:t>Not applicable</w:t>
            </w:r>
            <w:r>
              <w:t>.  A</w:t>
            </w:r>
            <w:r w:rsidRPr="000D7DAE">
              <w:t xml:space="preserve">ll staff groups </w:t>
            </w:r>
            <w:r w:rsidRPr="00F468F8">
              <w:t>are engaged by an in-house team</w:t>
            </w:r>
          </w:p>
          <w:p w14:paraId="18E7E1D1" w14:textId="77777777" w:rsidR="0027188C" w:rsidRDefault="0027188C" w:rsidP="00ED6D22">
            <w:pPr>
              <w:ind w:left="-360" w:firstLine="40"/>
              <w:rPr>
                <w:b/>
                <w:bCs/>
              </w:rPr>
            </w:pPr>
          </w:p>
        </w:tc>
      </w:tr>
      <w:tr w:rsidR="0027188C" w14:paraId="0DDC8137" w14:textId="77777777" w:rsidTr="0027188C">
        <w:tc>
          <w:tcPr>
            <w:tcW w:w="2500" w:type="pct"/>
          </w:tcPr>
          <w:p w14:paraId="5A40FFAD" w14:textId="77777777" w:rsidR="0027188C" w:rsidRDefault="0027188C" w:rsidP="00AE2F85">
            <w:r w:rsidRPr="00A56616">
              <w:lastRenderedPageBreak/>
              <w:t>OFF-PAYROLL WORKING (IR35)</w:t>
            </w:r>
          </w:p>
          <w:p w14:paraId="0A9D70BC" w14:textId="77777777" w:rsidR="00AB37F6" w:rsidRPr="00AB37F6" w:rsidRDefault="00AB37F6" w:rsidP="00AB37F6">
            <w:pPr>
              <w:spacing w:line="252" w:lineRule="auto"/>
              <w:rPr>
                <w:rFonts w:eastAsia="Times New Roman" w:cstheme="minorHAnsi"/>
                <w:bCs/>
                <w:i/>
                <w:iCs/>
              </w:rPr>
            </w:pPr>
            <w:r w:rsidRPr="00AB37F6">
              <w:rPr>
                <w:rFonts w:eastAsia="Times New Roman" w:cstheme="minorHAnsi"/>
                <w:bCs/>
                <w:i/>
                <w:iCs/>
              </w:rPr>
              <w:t>What is the grade &amp; speciality of all locums paid outside IR35?</w:t>
            </w:r>
          </w:p>
          <w:p w14:paraId="4759BE15" w14:textId="4436143B" w:rsidR="00AB37F6" w:rsidRPr="00D41133" w:rsidRDefault="00AB37F6" w:rsidP="00AE2F85">
            <w:pPr>
              <w:rPr>
                <w:i/>
                <w:iCs/>
              </w:rPr>
            </w:pPr>
          </w:p>
        </w:tc>
        <w:tc>
          <w:tcPr>
            <w:tcW w:w="2500" w:type="pct"/>
          </w:tcPr>
          <w:p w14:paraId="11D6880A" w14:textId="400E2B5A" w:rsidR="0027188C" w:rsidRPr="00777759" w:rsidRDefault="0027188C" w:rsidP="00965FC9">
            <w:pPr>
              <w:spacing w:line="252" w:lineRule="auto"/>
              <w:rPr>
                <w:rFonts w:eastAsia="Times New Roman" w:cstheme="minorHAnsi"/>
                <w:b/>
                <w:color w:val="7030A0"/>
              </w:rPr>
            </w:pPr>
            <w:r w:rsidRPr="004C2F48">
              <w:rPr>
                <w:rFonts w:eastAsia="Times New Roman" w:cstheme="minorHAnsi"/>
              </w:rPr>
              <w:t xml:space="preserve">The </w:t>
            </w:r>
            <w:r>
              <w:rPr>
                <w:rFonts w:eastAsia="Times New Roman" w:cstheme="minorHAnsi"/>
              </w:rPr>
              <w:t>Trust</w:t>
            </w:r>
            <w:r w:rsidRPr="004C2F48">
              <w:rPr>
                <w:rFonts w:eastAsia="Times New Roman" w:cstheme="minorHAnsi"/>
              </w:rPr>
              <w:t xml:space="preserve"> does not routinely record the information you have requested in a way that enables us to easily provide the required information.  We calculate that to identify, extract and collate the information you have requested from underlying records would take </w:t>
            </w:r>
            <w:r>
              <w:rPr>
                <w:rFonts w:eastAsia="Times New Roman" w:cstheme="minorHAnsi"/>
              </w:rPr>
              <w:t xml:space="preserve">more than </w:t>
            </w:r>
            <w:r w:rsidRPr="004C2F48">
              <w:rPr>
                <w:rFonts w:eastAsia="Times New Roman" w:cstheme="minorHAnsi"/>
              </w:rPr>
              <w:t xml:space="preserve">the cost </w:t>
            </w:r>
            <w:r w:rsidRPr="00777759">
              <w:rPr>
                <w:rFonts w:eastAsia="Times New Roman" w:cstheme="minorHAnsi"/>
              </w:rPr>
              <w:t xml:space="preserve">and time limit of £450/18 hours set out in the fees regulations to the Act.  Accordingly, we are withholding this information as permitted by Section 12 of the Act. If you would like more information on this exemption, please contact the FOI Office or see </w:t>
            </w:r>
            <w:hyperlink r:id="rId13" w:history="1">
              <w:r w:rsidRPr="00777759">
                <w:rPr>
                  <w:rStyle w:val="Hyperlink"/>
                  <w:rFonts w:eastAsia="Times New Roman" w:cstheme="minorHAnsi"/>
                </w:rPr>
                <w:t>ICO.org.uk/FOI/...</w:t>
              </w:r>
            </w:hyperlink>
            <w:r w:rsidRPr="00777759">
              <w:rPr>
                <w:rFonts w:eastAsia="Times New Roman" w:cstheme="minorHAnsi"/>
                <w:b/>
                <w:color w:val="7030A0"/>
              </w:rPr>
              <w:t xml:space="preserve">  </w:t>
            </w:r>
          </w:p>
          <w:p w14:paraId="274BA861" w14:textId="77777777" w:rsidR="0027188C" w:rsidRPr="0027432E" w:rsidRDefault="0027188C" w:rsidP="00AE2F85">
            <w:pPr>
              <w:rPr>
                <w:b/>
                <w:bCs/>
              </w:rPr>
            </w:pPr>
          </w:p>
        </w:tc>
      </w:tr>
      <w:tr w:rsidR="0027188C" w14:paraId="1E9505C2" w14:textId="77777777" w:rsidTr="0027188C">
        <w:tc>
          <w:tcPr>
            <w:tcW w:w="2500" w:type="pct"/>
          </w:tcPr>
          <w:p w14:paraId="59FEF15D" w14:textId="77777777" w:rsidR="0027188C" w:rsidRPr="00413DD3" w:rsidRDefault="0027188C" w:rsidP="00AE2F85">
            <w:bookmarkStart w:id="2" w:name="_Hlk199854410"/>
            <w:r w:rsidRPr="00413DD3">
              <w:t>ROSTERING</w:t>
            </w:r>
          </w:p>
          <w:p w14:paraId="17AD46FB" w14:textId="2F27DF0B" w:rsidR="0027188C" w:rsidRPr="00413DD3" w:rsidRDefault="0027188C" w:rsidP="00E24899">
            <w:r w:rsidRPr="00D41133">
              <w:rPr>
                <w:i/>
                <w:iCs/>
              </w:rPr>
              <w:t xml:space="preserve">Does your </w:t>
            </w:r>
            <w:r>
              <w:rPr>
                <w:i/>
                <w:iCs/>
              </w:rPr>
              <w:t>Trust</w:t>
            </w:r>
            <w:r w:rsidRPr="00D41133">
              <w:rPr>
                <w:i/>
                <w:iCs/>
              </w:rPr>
              <w:t xml:space="preserve"> use an E-Rostering provider?</w:t>
            </w:r>
          </w:p>
        </w:tc>
        <w:tc>
          <w:tcPr>
            <w:tcW w:w="2500" w:type="pct"/>
          </w:tcPr>
          <w:p w14:paraId="55777888" w14:textId="26A21DDC" w:rsidR="0027188C" w:rsidRDefault="0027188C" w:rsidP="00E163C2">
            <w:r w:rsidRPr="00E163C2">
              <w:t>Yes, predominately RLDatix</w:t>
            </w:r>
            <w:r>
              <w:t xml:space="preserve"> for Nursing and HCA’s, </w:t>
            </w:r>
            <w:r w:rsidRPr="00A62431">
              <w:t xml:space="preserve">Scientific, Therapeutic &amp; Technical Staff including </w:t>
            </w:r>
            <w:r>
              <w:t xml:space="preserve">AHPs and HSS, Admin and Clerical. </w:t>
            </w:r>
          </w:p>
          <w:p w14:paraId="701AB262" w14:textId="77777777" w:rsidR="0027188C" w:rsidRDefault="0027188C" w:rsidP="00E163C2"/>
          <w:p w14:paraId="177A5242" w14:textId="288026DA" w:rsidR="0027188C" w:rsidRDefault="0027188C" w:rsidP="00E163C2">
            <w:r>
              <w:t xml:space="preserve">With the following applications: </w:t>
            </w:r>
          </w:p>
          <w:p w14:paraId="0A9A5FD4" w14:textId="69BB45C3" w:rsidR="0027188C" w:rsidRPr="00E163C2" w:rsidRDefault="0027188C" w:rsidP="00E163C2">
            <w:r w:rsidRPr="00E163C2">
              <w:t xml:space="preserve">Absence </w:t>
            </w:r>
            <w:r>
              <w:t xml:space="preserve">– Trust </w:t>
            </w:r>
            <w:r w:rsidRPr="00E163C2">
              <w:t xml:space="preserve">wide all staff groups - including unpaid absence. </w:t>
            </w:r>
          </w:p>
          <w:p w14:paraId="7AEC8E2C" w14:textId="77777777" w:rsidR="0027188C" w:rsidRDefault="0027188C" w:rsidP="00E163C2">
            <w:r w:rsidRPr="00E163C2">
              <w:t>Time and Attendance</w:t>
            </w:r>
            <w:r>
              <w:t xml:space="preserve"> - </w:t>
            </w:r>
            <w:r w:rsidRPr="00E163C2">
              <w:t xml:space="preserve">almost all AfC clinicians across all staff groups, pockets of admin and clerical, most medical clinicians (resident doctors and consultants). </w:t>
            </w:r>
          </w:p>
          <w:p w14:paraId="5F5B07A1" w14:textId="3B6DF47A" w:rsidR="0027188C" w:rsidRPr="00E163C2" w:rsidRDefault="0027188C" w:rsidP="00E163C2">
            <w:r w:rsidRPr="00E163C2">
              <w:t>All overtime, on call, bank</w:t>
            </w:r>
            <w:r>
              <w:t xml:space="preserve"> </w:t>
            </w:r>
            <w:r w:rsidRPr="00E163C2">
              <w:t>and agency.</w:t>
            </w:r>
          </w:p>
          <w:p w14:paraId="42408D7F" w14:textId="0448C9E9" w:rsidR="0027188C" w:rsidRPr="00E163C2" w:rsidRDefault="0027188C" w:rsidP="00E163C2">
            <w:r w:rsidRPr="00E163C2">
              <w:t xml:space="preserve">Exceptions being pockets of specialist medical areas </w:t>
            </w:r>
            <w:r>
              <w:t xml:space="preserve">which </w:t>
            </w:r>
            <w:r w:rsidRPr="00E163C2">
              <w:t xml:space="preserve">use different systems for scheduling, such as Rotamap in Emergency </w:t>
            </w:r>
            <w:r>
              <w:t xml:space="preserve">Care </w:t>
            </w:r>
            <w:r w:rsidRPr="00E163C2">
              <w:t>and CLWRota for Anaesthetics</w:t>
            </w:r>
            <w:r>
              <w:t>.</w:t>
            </w:r>
          </w:p>
          <w:p w14:paraId="41810B17" w14:textId="79028938" w:rsidR="0027188C" w:rsidRPr="00E163C2" w:rsidRDefault="0027188C" w:rsidP="00E163C2">
            <w:r w:rsidRPr="00E163C2">
              <w:t>Medical bank shifts are requested, and bookings are seen/reported on</w:t>
            </w:r>
            <w:r>
              <w:t>,</w:t>
            </w:r>
            <w:r w:rsidRPr="00E163C2">
              <w:t xml:space="preserve"> in RLDatix but managed by Patchwork Bank through an interface where workers select their bank shifts.</w:t>
            </w:r>
          </w:p>
          <w:p w14:paraId="6D88CCF8" w14:textId="45E183AE" w:rsidR="0027188C" w:rsidRDefault="0027188C" w:rsidP="00E163C2"/>
        </w:tc>
      </w:tr>
      <w:tr w:rsidR="0027188C" w14:paraId="698A6089" w14:textId="77777777" w:rsidTr="0027188C">
        <w:tc>
          <w:tcPr>
            <w:tcW w:w="2500" w:type="pct"/>
          </w:tcPr>
          <w:p w14:paraId="17D7871F" w14:textId="77777777" w:rsidR="0027188C" w:rsidRPr="00413DD3" w:rsidRDefault="0027188C" w:rsidP="00AE2F85">
            <w:r w:rsidRPr="00413DD3">
              <w:t xml:space="preserve">ROSTERING </w:t>
            </w:r>
          </w:p>
          <w:p w14:paraId="42676097" w14:textId="77777777" w:rsidR="0027188C" w:rsidRPr="00D41133" w:rsidRDefault="0027188C" w:rsidP="00AE2F85">
            <w:pPr>
              <w:rPr>
                <w:i/>
                <w:iCs/>
              </w:rPr>
            </w:pPr>
            <w:r w:rsidRPr="00D41133">
              <w:rPr>
                <w:i/>
                <w:iCs/>
              </w:rPr>
              <w:t>E-Rostering provider contract start and finish dates</w:t>
            </w:r>
          </w:p>
          <w:p w14:paraId="43546110" w14:textId="1709DD9A" w:rsidR="0027188C" w:rsidRPr="00D41133" w:rsidRDefault="0027188C" w:rsidP="00AE2F85">
            <w:pPr>
              <w:rPr>
                <w:i/>
                <w:iCs/>
              </w:rPr>
            </w:pPr>
          </w:p>
        </w:tc>
        <w:tc>
          <w:tcPr>
            <w:tcW w:w="2500" w:type="pct"/>
          </w:tcPr>
          <w:p w14:paraId="213FFD2A" w14:textId="63AB969A" w:rsidR="0027188C" w:rsidRDefault="0027188C" w:rsidP="00ED5EC1">
            <w:pPr>
              <w:rPr>
                <w:rFonts w:eastAsia="Calibri" w:cs="Calibri"/>
              </w:rPr>
            </w:pPr>
            <w:r w:rsidRPr="00B03B7E">
              <w:rPr>
                <w:rFonts w:eastAsia="Calibri" w:cs="Calibri"/>
              </w:rPr>
              <w:t>The ‘allocate software (RLDatix) to supply HealthRoster Optima, Medic on Duty, Activity Manager’ contract started on 31/05/202</w:t>
            </w:r>
            <w:r>
              <w:rPr>
                <w:rFonts w:eastAsia="Calibri" w:cs="Calibri"/>
              </w:rPr>
              <w:t xml:space="preserve">5 </w:t>
            </w:r>
            <w:r w:rsidRPr="00B03B7E">
              <w:rPr>
                <w:rFonts w:eastAsia="Calibri" w:cs="Calibri"/>
              </w:rPr>
              <w:t>and ends on 30/05/20</w:t>
            </w:r>
            <w:r>
              <w:rPr>
                <w:rFonts w:eastAsia="Calibri" w:cs="Calibri"/>
              </w:rPr>
              <w:t>27</w:t>
            </w:r>
            <w:r w:rsidRPr="00B03B7E">
              <w:rPr>
                <w:rFonts w:eastAsia="Calibri" w:cs="Calibri"/>
              </w:rPr>
              <w:t xml:space="preserve">  The supplier is SOFTCAT PLC.</w:t>
            </w:r>
          </w:p>
          <w:p w14:paraId="75E9A446" w14:textId="77777777" w:rsidR="0027188C" w:rsidRDefault="0027188C" w:rsidP="00F45DA7">
            <w:pPr>
              <w:rPr>
                <w:rFonts w:eastAsia="Calibri" w:cs="Calibri"/>
              </w:rPr>
            </w:pPr>
          </w:p>
          <w:p w14:paraId="1A02377D" w14:textId="1F501B13" w:rsidR="0027188C" w:rsidRDefault="0027188C" w:rsidP="00F45DA7">
            <w:pPr>
              <w:rPr>
                <w:rFonts w:eastAsia="Calibri" w:cs="Calibri"/>
              </w:rPr>
            </w:pPr>
            <w:r w:rsidRPr="00B03B7E">
              <w:rPr>
                <w:rFonts w:eastAsia="Calibri" w:cs="Calibri"/>
              </w:rPr>
              <w:t>Rotamap Limited, the contract for ‘CLW</w:t>
            </w:r>
            <w:r>
              <w:rPr>
                <w:rFonts w:eastAsia="Calibri" w:cs="Calibri"/>
              </w:rPr>
              <w:t xml:space="preserve"> </w:t>
            </w:r>
            <w:r w:rsidRPr="00B03B7E">
              <w:rPr>
                <w:rFonts w:eastAsia="Calibri" w:cs="Calibri"/>
              </w:rPr>
              <w:t xml:space="preserve">Rota management service for anaesthetics’ started on </w:t>
            </w:r>
            <w:r w:rsidRPr="00ED5EC1">
              <w:rPr>
                <w:rFonts w:eastAsia="Calibri" w:cs="Calibri"/>
              </w:rPr>
              <w:t xml:space="preserve">01/08/2024 and expires on 31/07/2026.  </w:t>
            </w:r>
          </w:p>
          <w:p w14:paraId="58C76471" w14:textId="77777777" w:rsidR="0027188C" w:rsidRDefault="0027188C" w:rsidP="00ED5EC1"/>
        </w:tc>
      </w:tr>
      <w:tr w:rsidR="0027188C" w14:paraId="176C453B" w14:textId="77777777" w:rsidTr="0027188C">
        <w:tc>
          <w:tcPr>
            <w:tcW w:w="2500" w:type="pct"/>
          </w:tcPr>
          <w:p w14:paraId="651EA63A" w14:textId="77777777" w:rsidR="0027188C" w:rsidRDefault="0027188C" w:rsidP="00763504">
            <w:r>
              <w:lastRenderedPageBreak/>
              <w:t>ROSTERING</w:t>
            </w:r>
          </w:p>
          <w:p w14:paraId="326AFFE6" w14:textId="69112F02" w:rsidR="0027188C" w:rsidRPr="00413DD3" w:rsidRDefault="0027188C" w:rsidP="00AE2F85">
            <w:r w:rsidRPr="00D41133">
              <w:rPr>
                <w:i/>
                <w:iCs/>
              </w:rPr>
              <w:t>Framework to procure rostering supplier/ suppliers</w:t>
            </w:r>
          </w:p>
        </w:tc>
        <w:tc>
          <w:tcPr>
            <w:tcW w:w="2500" w:type="pct"/>
          </w:tcPr>
          <w:p w14:paraId="3FF65712" w14:textId="77777777" w:rsidR="0027188C" w:rsidRPr="006337A9" w:rsidRDefault="0027188C" w:rsidP="00F45DA7">
            <w:pPr>
              <w:rPr>
                <w:rFonts w:eastAsia="Aptos" w:cs="Aptos"/>
              </w:rPr>
            </w:pPr>
            <w:r w:rsidRPr="006337A9">
              <w:rPr>
                <w:rFonts w:eastAsia="Calibri" w:cs="Calibri"/>
              </w:rPr>
              <w:t>Rotamap Limited, the contract for ‘CLWRota management service for anaesthetics’ was procured via the CCS G-Cloud 13 framework agreement.</w:t>
            </w:r>
          </w:p>
          <w:p w14:paraId="3F22DAEB" w14:textId="7BFB3A83" w:rsidR="0027188C" w:rsidRPr="006337A9" w:rsidRDefault="0027188C" w:rsidP="00F45DA7">
            <w:r w:rsidRPr="006337A9">
              <w:rPr>
                <w:rFonts w:eastAsia="Calibri" w:cs="Calibri"/>
              </w:rPr>
              <w:t>The allocate software (RLDatix) to supply HealthRoster Optima, Medic on Duty, Activity Manager’ The supplier is SOFTCAT PLC.  It was procured under the Health</w:t>
            </w:r>
            <w:r>
              <w:rPr>
                <w:rFonts w:eastAsia="Calibri" w:cs="Calibri"/>
              </w:rPr>
              <w:t>Trust</w:t>
            </w:r>
            <w:r w:rsidRPr="006337A9">
              <w:rPr>
                <w:rFonts w:eastAsia="Calibri" w:cs="Calibri"/>
              </w:rPr>
              <w:t xml:space="preserve"> Europe LLP Framework Agreement</w:t>
            </w:r>
          </w:p>
          <w:p w14:paraId="09BE1E3D" w14:textId="77777777" w:rsidR="0027188C" w:rsidRDefault="0027188C" w:rsidP="00AE2F85"/>
        </w:tc>
      </w:tr>
      <w:tr w:rsidR="0027188C" w14:paraId="7F419C0B" w14:textId="77777777" w:rsidTr="0027188C">
        <w:trPr>
          <w:trHeight w:val="440"/>
        </w:trPr>
        <w:tc>
          <w:tcPr>
            <w:tcW w:w="2500" w:type="pct"/>
          </w:tcPr>
          <w:p w14:paraId="4EBD7DD9" w14:textId="77777777" w:rsidR="0027188C" w:rsidRPr="00413DD3" w:rsidRDefault="0027188C" w:rsidP="00763504">
            <w:r w:rsidRPr="00413DD3">
              <w:t xml:space="preserve">ROSTERING </w:t>
            </w:r>
          </w:p>
          <w:p w14:paraId="73973E1F" w14:textId="41ECE597" w:rsidR="0027188C" w:rsidRPr="00D41133" w:rsidRDefault="0027188C" w:rsidP="00763504">
            <w:pPr>
              <w:rPr>
                <w:i/>
                <w:iCs/>
              </w:rPr>
            </w:pPr>
            <w:r w:rsidRPr="00D41133">
              <w:rPr>
                <w:i/>
                <w:iCs/>
              </w:rPr>
              <w:t>Software costs</w:t>
            </w:r>
          </w:p>
        </w:tc>
        <w:tc>
          <w:tcPr>
            <w:tcW w:w="2500" w:type="pct"/>
          </w:tcPr>
          <w:p w14:paraId="37567A0F" w14:textId="6790B263" w:rsidR="0027188C" w:rsidRPr="00763504" w:rsidRDefault="0027188C" w:rsidP="00ED6D22">
            <w:pPr>
              <w:rPr>
                <w:rFonts w:cs="Arial"/>
              </w:rPr>
            </w:pPr>
            <w:r w:rsidRPr="00763504">
              <w:rPr>
                <w:rFonts w:cs="Arial"/>
              </w:rPr>
              <w:t xml:space="preserve">The </w:t>
            </w:r>
            <w:r>
              <w:rPr>
                <w:rFonts w:cs="Arial"/>
              </w:rPr>
              <w:t>Trust</w:t>
            </w:r>
            <w:r w:rsidRPr="00763504">
              <w:rPr>
                <w:rFonts w:cs="Arial"/>
              </w:rPr>
              <w:t xml:space="preserve"> does hold the information you have requested but considers that release of this information falls within the exemption provided by Section 43 (2) of the Act, on the basis that the information is commercially sensitive and would be likely to prejudice the commercial interest of various parties</w:t>
            </w:r>
            <w:r>
              <w:rPr>
                <w:rFonts w:cs="Arial"/>
              </w:rPr>
              <w:t>.</w:t>
            </w:r>
          </w:p>
        </w:tc>
      </w:tr>
      <w:tr w:rsidR="0027188C" w14:paraId="0E057D3F" w14:textId="77777777" w:rsidTr="0027188C">
        <w:tc>
          <w:tcPr>
            <w:tcW w:w="2500" w:type="pct"/>
          </w:tcPr>
          <w:p w14:paraId="383FD65B" w14:textId="77777777" w:rsidR="0027188C" w:rsidRPr="00413DD3" w:rsidRDefault="0027188C" w:rsidP="00AE2F85">
            <w:r w:rsidRPr="00413DD3">
              <w:t xml:space="preserve">ROSTERING </w:t>
            </w:r>
          </w:p>
          <w:p w14:paraId="5770063E" w14:textId="38CB72C2" w:rsidR="0027188C" w:rsidRPr="00D41133" w:rsidRDefault="0027188C" w:rsidP="00AE2F85">
            <w:pPr>
              <w:rPr>
                <w:i/>
                <w:iCs/>
              </w:rPr>
            </w:pPr>
            <w:r w:rsidRPr="00D41133">
              <w:rPr>
                <w:i/>
                <w:iCs/>
              </w:rPr>
              <w:t xml:space="preserve">E-Rostering provider – how many licenses </w:t>
            </w:r>
          </w:p>
        </w:tc>
        <w:tc>
          <w:tcPr>
            <w:tcW w:w="2500" w:type="pct"/>
          </w:tcPr>
          <w:p w14:paraId="5A12EC7A" w14:textId="02FD7CB8" w:rsidR="0027188C" w:rsidRDefault="0027188C" w:rsidP="00763504">
            <w:pPr>
              <w:rPr>
                <w:rFonts w:cs="Arial"/>
              </w:rPr>
            </w:pPr>
            <w:r w:rsidRPr="00702B3B">
              <w:rPr>
                <w:rFonts w:cs="Arial"/>
              </w:rPr>
              <w:t xml:space="preserve">The </w:t>
            </w:r>
            <w:r>
              <w:rPr>
                <w:rFonts w:cs="Arial"/>
              </w:rPr>
              <w:t>Trust</w:t>
            </w:r>
            <w:r w:rsidRPr="00702B3B">
              <w:rPr>
                <w:rFonts w:cs="Arial"/>
              </w:rPr>
              <w:t xml:space="preserve"> does hold the information you have requested but considers that release of this information falls within the exemption provided by Section 43 (2) of the Act, on the basis that the information is commercially sensitive and would be likely to prejudice the commercial interest of various parties.</w:t>
            </w:r>
          </w:p>
          <w:p w14:paraId="0FE0B6F8" w14:textId="4EBA9630" w:rsidR="0027188C" w:rsidRPr="00702B3B" w:rsidRDefault="0027188C" w:rsidP="00763504">
            <w:pPr>
              <w:rPr>
                <w:rFonts w:cs="Arial"/>
              </w:rPr>
            </w:pPr>
          </w:p>
        </w:tc>
      </w:tr>
      <w:tr w:rsidR="0027188C" w14:paraId="0706E510" w14:textId="77777777" w:rsidTr="0027188C">
        <w:tc>
          <w:tcPr>
            <w:tcW w:w="2500" w:type="pct"/>
          </w:tcPr>
          <w:p w14:paraId="19B06CC7" w14:textId="77777777" w:rsidR="0027188C" w:rsidRDefault="0027188C" w:rsidP="00AE2F85">
            <w:r>
              <w:t>ROSTERING – SELF-ROSTERING</w:t>
            </w:r>
          </w:p>
          <w:p w14:paraId="2049D960" w14:textId="77777777" w:rsidR="0027188C" w:rsidRPr="00D41133" w:rsidRDefault="0027188C" w:rsidP="00AE2F85">
            <w:pPr>
              <w:rPr>
                <w:i/>
                <w:iCs/>
              </w:rPr>
            </w:pPr>
            <w:r w:rsidRPr="00D41133">
              <w:rPr>
                <w:i/>
                <w:iCs/>
              </w:rPr>
              <w:t>Does your organisation use self-rostering?</w:t>
            </w:r>
          </w:p>
          <w:p w14:paraId="0C558EA3" w14:textId="64C0EBAA" w:rsidR="0027188C" w:rsidRPr="00D41133" w:rsidRDefault="0027188C" w:rsidP="00AE2F85">
            <w:pPr>
              <w:rPr>
                <w:i/>
                <w:iCs/>
              </w:rPr>
            </w:pPr>
          </w:p>
        </w:tc>
        <w:tc>
          <w:tcPr>
            <w:tcW w:w="2500" w:type="pct"/>
          </w:tcPr>
          <w:p w14:paraId="494DACF3" w14:textId="07EEB706" w:rsidR="0027188C" w:rsidRPr="00F45DA7" w:rsidRDefault="0027188C" w:rsidP="00AE2F85">
            <w:pPr>
              <w:rPr>
                <w:rFonts w:cs="Arial"/>
              </w:rPr>
            </w:pPr>
            <w:r>
              <w:rPr>
                <w:rFonts w:cs="Arial"/>
              </w:rPr>
              <w:t>Yes</w:t>
            </w:r>
          </w:p>
        </w:tc>
      </w:tr>
      <w:tr w:rsidR="0027188C" w14:paraId="2D6C502D" w14:textId="77777777" w:rsidTr="0027188C">
        <w:tc>
          <w:tcPr>
            <w:tcW w:w="2500" w:type="pct"/>
          </w:tcPr>
          <w:p w14:paraId="0E92A459" w14:textId="77777777" w:rsidR="0027188C" w:rsidRDefault="0027188C" w:rsidP="00D26782">
            <w:r>
              <w:t>ROSTERING – SELF-ROSTERING</w:t>
            </w:r>
          </w:p>
          <w:p w14:paraId="2AB79BA3" w14:textId="77777777" w:rsidR="0027188C" w:rsidRPr="00D41133" w:rsidRDefault="0027188C" w:rsidP="00AE2F85">
            <w:pPr>
              <w:rPr>
                <w:i/>
                <w:iCs/>
              </w:rPr>
            </w:pPr>
            <w:r w:rsidRPr="00D41133">
              <w:rPr>
                <w:i/>
                <w:iCs/>
              </w:rPr>
              <w:t>staffing groups where self- rostering is currently being used</w:t>
            </w:r>
          </w:p>
          <w:p w14:paraId="25D81908" w14:textId="77777777" w:rsidR="0027188C" w:rsidRPr="00413DD3" w:rsidRDefault="0027188C" w:rsidP="00AE2F85"/>
        </w:tc>
        <w:tc>
          <w:tcPr>
            <w:tcW w:w="2500" w:type="pct"/>
          </w:tcPr>
          <w:p w14:paraId="39F84893" w14:textId="77777777" w:rsidR="0027188C" w:rsidRDefault="0027188C" w:rsidP="00D26782">
            <w:r>
              <w:t>Formally in some nursing areas, informally elsewhere.</w:t>
            </w:r>
          </w:p>
          <w:p w14:paraId="6E451B73" w14:textId="21A54BB7" w:rsidR="0027188C" w:rsidRDefault="0027188C" w:rsidP="00AE2F85">
            <w:pPr>
              <w:rPr>
                <w:rFonts w:cs="Arial"/>
              </w:rPr>
            </w:pPr>
          </w:p>
        </w:tc>
      </w:tr>
      <w:tr w:rsidR="0027188C" w14:paraId="3E67200B" w14:textId="77777777" w:rsidTr="0027188C">
        <w:tc>
          <w:tcPr>
            <w:tcW w:w="2500" w:type="pct"/>
          </w:tcPr>
          <w:p w14:paraId="50D16117" w14:textId="77777777" w:rsidR="0027188C" w:rsidRDefault="0027188C" w:rsidP="00D26782">
            <w:r>
              <w:t>ROSTERING – SELF-ROSTERING</w:t>
            </w:r>
          </w:p>
          <w:p w14:paraId="0B868680" w14:textId="77777777" w:rsidR="0027188C" w:rsidRPr="00D41133" w:rsidRDefault="0027188C" w:rsidP="00AE2F85">
            <w:pPr>
              <w:rPr>
                <w:i/>
                <w:iCs/>
              </w:rPr>
            </w:pPr>
            <w:r w:rsidRPr="00D41133">
              <w:rPr>
                <w:i/>
                <w:iCs/>
              </w:rPr>
              <w:t>Are manual or technology-based mechanisms used to facilitate self-rostering</w:t>
            </w:r>
          </w:p>
          <w:p w14:paraId="5E478489" w14:textId="77777777" w:rsidR="0027188C" w:rsidRDefault="0027188C" w:rsidP="00AE2F85"/>
          <w:p w14:paraId="13267E09" w14:textId="77777777" w:rsidR="00DD0CF9" w:rsidRDefault="00DD0CF9" w:rsidP="00AE2F85"/>
          <w:p w14:paraId="7F570BA7" w14:textId="77777777" w:rsidR="0027188C" w:rsidRPr="00413DD3" w:rsidRDefault="0027188C" w:rsidP="00AE2F85"/>
        </w:tc>
        <w:tc>
          <w:tcPr>
            <w:tcW w:w="2500" w:type="pct"/>
          </w:tcPr>
          <w:p w14:paraId="0D177344" w14:textId="4BEB0EDB" w:rsidR="0027188C" w:rsidRDefault="0027188C" w:rsidP="00AE2F85">
            <w:pPr>
              <w:rPr>
                <w:rFonts w:cs="Arial"/>
              </w:rPr>
            </w:pPr>
            <w:r>
              <w:rPr>
                <w:rFonts w:cs="Arial"/>
              </w:rPr>
              <w:t>Technology</w:t>
            </w:r>
          </w:p>
        </w:tc>
      </w:tr>
      <w:bookmarkEnd w:id="2"/>
      <w:tr w:rsidR="0027188C" w14:paraId="791CDE7D" w14:textId="77777777" w:rsidTr="0027188C">
        <w:tc>
          <w:tcPr>
            <w:tcW w:w="2500" w:type="pct"/>
          </w:tcPr>
          <w:p w14:paraId="120240FA" w14:textId="77777777" w:rsidR="0027188C" w:rsidRPr="00413DD3" w:rsidRDefault="0027188C" w:rsidP="00AE2F85">
            <w:r w:rsidRPr="00413DD3">
              <w:t xml:space="preserve">VENDOR MANAGEMENT SYSTEM </w:t>
            </w:r>
          </w:p>
          <w:p w14:paraId="7B83821F" w14:textId="642AF41D" w:rsidR="0027188C" w:rsidRPr="00D41133" w:rsidRDefault="0027188C" w:rsidP="00AE2F85">
            <w:pPr>
              <w:rPr>
                <w:i/>
                <w:iCs/>
              </w:rPr>
            </w:pPr>
            <w:r w:rsidRPr="00D41133">
              <w:rPr>
                <w:i/>
                <w:iCs/>
              </w:rPr>
              <w:t xml:space="preserve">Does the </w:t>
            </w:r>
            <w:r>
              <w:rPr>
                <w:i/>
                <w:iCs/>
              </w:rPr>
              <w:t>Trust</w:t>
            </w:r>
            <w:r w:rsidRPr="00D41133">
              <w:rPr>
                <w:i/>
                <w:iCs/>
              </w:rPr>
              <w:t xml:space="preserve"> use a third-party Vendor Management System for the supply of agency staff</w:t>
            </w:r>
          </w:p>
          <w:p w14:paraId="27676123" w14:textId="77777777" w:rsidR="0027188C" w:rsidRPr="00413DD3" w:rsidRDefault="0027188C" w:rsidP="00AE2F85"/>
        </w:tc>
        <w:tc>
          <w:tcPr>
            <w:tcW w:w="2500" w:type="pct"/>
          </w:tcPr>
          <w:p w14:paraId="1BA8A7C7" w14:textId="583D1AEE" w:rsidR="0027188C" w:rsidRDefault="004202A4" w:rsidP="00AE2F85">
            <w:pPr>
              <w:rPr>
                <w:rFonts w:cs="Arial"/>
              </w:rPr>
            </w:pPr>
            <w:r>
              <w:rPr>
                <w:rFonts w:cs="Arial"/>
              </w:rPr>
              <w:t>YES,</w:t>
            </w:r>
            <w:r w:rsidR="0027188C">
              <w:rPr>
                <w:rFonts w:cs="Arial"/>
              </w:rPr>
              <w:t xml:space="preserve"> for all staff groups </w:t>
            </w:r>
          </w:p>
          <w:p w14:paraId="44065627" w14:textId="5C9291FB" w:rsidR="0027188C" w:rsidRDefault="0027188C" w:rsidP="00AE2F85">
            <w:pPr>
              <w:rPr>
                <w:rFonts w:cs="Arial"/>
              </w:rPr>
            </w:pPr>
          </w:p>
        </w:tc>
      </w:tr>
      <w:tr w:rsidR="0027188C" w14:paraId="2AC138B5" w14:textId="77777777" w:rsidTr="0027188C">
        <w:tc>
          <w:tcPr>
            <w:tcW w:w="2500" w:type="pct"/>
          </w:tcPr>
          <w:p w14:paraId="1F9EFE8F" w14:textId="77777777" w:rsidR="0027188C" w:rsidRPr="00413DD3" w:rsidRDefault="0027188C" w:rsidP="00AE2F85">
            <w:r w:rsidRPr="00413DD3">
              <w:t xml:space="preserve">VENDOR MANAGEMENT SYSTEM </w:t>
            </w:r>
          </w:p>
          <w:p w14:paraId="75C388B7" w14:textId="1E5D13D9" w:rsidR="0027188C" w:rsidRPr="00413DD3" w:rsidRDefault="0027188C" w:rsidP="00AE2F85">
            <w:r w:rsidRPr="00413DD3">
              <w:t xml:space="preserve">Who supplies your Vendor Management System?  </w:t>
            </w:r>
          </w:p>
        </w:tc>
        <w:tc>
          <w:tcPr>
            <w:tcW w:w="2500" w:type="pct"/>
          </w:tcPr>
          <w:p w14:paraId="35C5C3D6" w14:textId="77777777" w:rsidR="0027188C" w:rsidRDefault="0027188C" w:rsidP="00AE2F85">
            <w:r>
              <w:t>Patchwork:</w:t>
            </w:r>
          </w:p>
          <w:p w14:paraId="08277D07" w14:textId="02E665A2" w:rsidR="0027188C" w:rsidRDefault="0027188C" w:rsidP="00AE2F85">
            <w:r>
              <w:t xml:space="preserve">Medical and Dental </w:t>
            </w:r>
          </w:p>
          <w:p w14:paraId="4E8DBE8B" w14:textId="77777777" w:rsidR="0027188C" w:rsidRDefault="0027188C" w:rsidP="003D2C7A">
            <w:r>
              <w:t>Allocate:</w:t>
            </w:r>
          </w:p>
          <w:p w14:paraId="63FB2541" w14:textId="3B47DA48" w:rsidR="0027188C" w:rsidRDefault="0027188C" w:rsidP="003D2C7A">
            <w:r>
              <w:lastRenderedPageBreak/>
              <w:t>Nursing and Midwifery – registered and unregistered</w:t>
            </w:r>
          </w:p>
          <w:p w14:paraId="34D10D07" w14:textId="77777777" w:rsidR="0027188C" w:rsidRDefault="0027188C" w:rsidP="003D2C7A">
            <w:r>
              <w:t>Allied Health Professionals – registered and unregistered</w:t>
            </w:r>
          </w:p>
          <w:p w14:paraId="52ED8AED" w14:textId="77777777" w:rsidR="0027188C" w:rsidRDefault="0027188C" w:rsidP="003D2C7A">
            <w:r>
              <w:t>Professional, Scientific &amp; Technical – registered and unregistered</w:t>
            </w:r>
          </w:p>
          <w:p w14:paraId="7DF78793" w14:textId="77777777" w:rsidR="0027188C" w:rsidRDefault="0027188C" w:rsidP="003D2C7A">
            <w:r>
              <w:t>Healthcare Scientists</w:t>
            </w:r>
            <w:r w:rsidDel="003746FB">
              <w:t xml:space="preserve"> </w:t>
            </w:r>
          </w:p>
          <w:p w14:paraId="1C191EAC" w14:textId="77777777" w:rsidR="0027188C" w:rsidRDefault="0027188C" w:rsidP="003D2C7A">
            <w:r>
              <w:t xml:space="preserve">Admin and Clerical </w:t>
            </w:r>
          </w:p>
          <w:p w14:paraId="6DF430BC" w14:textId="14A488D6" w:rsidR="0027188C" w:rsidRDefault="0027188C" w:rsidP="003D2C7A">
            <w:r>
              <w:t>Estates and Ancillary</w:t>
            </w:r>
          </w:p>
          <w:p w14:paraId="40596B84" w14:textId="77777777" w:rsidR="004202A4" w:rsidRPr="00702B3B" w:rsidRDefault="004202A4" w:rsidP="00AE2F85">
            <w:pPr>
              <w:rPr>
                <w:rFonts w:cs="Arial"/>
              </w:rPr>
            </w:pPr>
          </w:p>
        </w:tc>
      </w:tr>
      <w:tr w:rsidR="0027188C" w14:paraId="2246A4C1" w14:textId="77777777" w:rsidTr="0027188C">
        <w:tc>
          <w:tcPr>
            <w:tcW w:w="2500" w:type="pct"/>
          </w:tcPr>
          <w:p w14:paraId="5547DFAD" w14:textId="77777777" w:rsidR="0027188C" w:rsidRPr="00413DD3" w:rsidRDefault="0027188C" w:rsidP="00AE2F85">
            <w:r w:rsidRPr="00413DD3">
              <w:lastRenderedPageBreak/>
              <w:t xml:space="preserve">VENDOR MANAGEMENT SYSTEM </w:t>
            </w:r>
          </w:p>
          <w:p w14:paraId="65AF3CC7" w14:textId="5D036E43" w:rsidR="0027188C" w:rsidRPr="00413DD3" w:rsidRDefault="0027188C" w:rsidP="00AE2F85">
            <w:r w:rsidRPr="00D41133">
              <w:rPr>
                <w:i/>
                <w:iCs/>
              </w:rPr>
              <w:t>Please provide the contract start and end date for this provider (dd/mm/yy)</w:t>
            </w:r>
            <w:r w:rsidRPr="00D41133">
              <w:rPr>
                <w:i/>
                <w:iCs/>
              </w:rPr>
              <w:tab/>
            </w:r>
          </w:p>
        </w:tc>
        <w:tc>
          <w:tcPr>
            <w:tcW w:w="2500" w:type="pct"/>
          </w:tcPr>
          <w:p w14:paraId="04B5A953" w14:textId="33245527" w:rsidR="0027188C" w:rsidRDefault="0027188C" w:rsidP="00AE2F85">
            <w:r>
              <w:t>Allocate – 31/05/2025 to 30/05/2027</w:t>
            </w:r>
          </w:p>
          <w:p w14:paraId="152F2B7B" w14:textId="659D2BEE" w:rsidR="0027188C" w:rsidRPr="00702B3B" w:rsidRDefault="0027188C" w:rsidP="00AE2F85">
            <w:pPr>
              <w:rPr>
                <w:rFonts w:cs="Arial"/>
              </w:rPr>
            </w:pPr>
            <w:r>
              <w:t>Patchwork – 07/08/24 to 21/08/2027</w:t>
            </w:r>
          </w:p>
        </w:tc>
      </w:tr>
    </w:tbl>
    <w:p w14:paraId="73A2CD87" w14:textId="77777777" w:rsidR="0027432E" w:rsidRDefault="0027432E" w:rsidP="0027432E">
      <w:pPr>
        <w:pStyle w:val="ListParagraph"/>
        <w:ind w:left="360"/>
      </w:pPr>
    </w:p>
    <w:p w14:paraId="0BD59CE5" w14:textId="77777777" w:rsidR="00DA7E1E" w:rsidRDefault="00DA7E1E" w:rsidP="00C726B2"/>
    <w:sectPr w:rsidR="00DA7E1E" w:rsidSect="0027188C">
      <w:headerReference w:type="default" r:id="rId14"/>
      <w:footerReference w:type="default" r:id="rId15"/>
      <w:pgSz w:w="16838" w:h="11906" w:orient="landscape" w:code="9"/>
      <w:pgMar w:top="720" w:right="720" w:bottom="720"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53190" w14:textId="77777777" w:rsidR="00846C12" w:rsidRDefault="00846C12" w:rsidP="00A56616">
      <w:pPr>
        <w:spacing w:after="0" w:line="240" w:lineRule="auto"/>
      </w:pPr>
      <w:r>
        <w:separator/>
      </w:r>
    </w:p>
  </w:endnote>
  <w:endnote w:type="continuationSeparator" w:id="0">
    <w:p w14:paraId="20D9BA94" w14:textId="77777777" w:rsidR="00846C12" w:rsidRDefault="00846C12" w:rsidP="00A5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7025558"/>
      <w:docPartObj>
        <w:docPartGallery w:val="Page Numbers (Bottom of Page)"/>
        <w:docPartUnique/>
      </w:docPartObj>
    </w:sdtPr>
    <w:sdtContent>
      <w:sdt>
        <w:sdtPr>
          <w:id w:val="-1705238520"/>
          <w:docPartObj>
            <w:docPartGallery w:val="Page Numbers (Top of Page)"/>
            <w:docPartUnique/>
          </w:docPartObj>
        </w:sdtPr>
        <w:sdtContent>
          <w:p w14:paraId="13A1AB31" w14:textId="4225F7F3" w:rsidR="0027188C" w:rsidRPr="004202A4" w:rsidRDefault="004202A4" w:rsidP="004202A4">
            <w:pPr>
              <w:pStyle w:val="Footer"/>
              <w:rPr>
                <w:sz w:val="20"/>
                <w:szCs w:val="20"/>
              </w:rPr>
            </w:pPr>
            <w:r w:rsidRPr="004202A4">
              <w:rPr>
                <w:sz w:val="20"/>
                <w:szCs w:val="20"/>
              </w:rPr>
              <w:t>Non-Spend Agency &amp; Bank Staff FAQ’s – August 2025</w:t>
            </w:r>
          </w:p>
          <w:p w14:paraId="6B11A61E" w14:textId="620C7998" w:rsidR="00A56616" w:rsidRDefault="00A56616" w:rsidP="00A56616">
            <w:pPr>
              <w:pStyle w:val="Footer"/>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5B7BCD6" w14:textId="77777777" w:rsidR="00A56616" w:rsidRDefault="00A56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E903E" w14:textId="77777777" w:rsidR="00846C12" w:rsidRDefault="00846C12" w:rsidP="00A56616">
      <w:pPr>
        <w:spacing w:after="0" w:line="240" w:lineRule="auto"/>
      </w:pPr>
      <w:r>
        <w:separator/>
      </w:r>
    </w:p>
  </w:footnote>
  <w:footnote w:type="continuationSeparator" w:id="0">
    <w:p w14:paraId="28060BDA" w14:textId="77777777" w:rsidR="00846C12" w:rsidRDefault="00846C12" w:rsidP="00A56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F485C" w14:textId="73C77397" w:rsidR="00611C42" w:rsidRPr="00611C42" w:rsidRDefault="005104B9" w:rsidP="00611C42">
    <w:pPr>
      <w:spacing w:after="0" w:line="240" w:lineRule="auto"/>
      <w:jc w:val="center"/>
      <w:rPr>
        <w:b/>
        <w:bCs/>
        <w:color w:val="FF0000"/>
      </w:rPr>
    </w:pPr>
    <w:r>
      <w:rPr>
        <w:b/>
        <w:bCs/>
        <w:color w:val="FF0000"/>
      </w:rPr>
      <w:t xml:space="preserve"> </w:t>
    </w:r>
  </w:p>
  <w:p w14:paraId="2EB2D456" w14:textId="77777777" w:rsidR="00611C42" w:rsidRDefault="00611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A3D"/>
    <w:multiLevelType w:val="hybridMultilevel"/>
    <w:tmpl w:val="861433B4"/>
    <w:lvl w:ilvl="0" w:tplc="0809000F">
      <w:start w:val="1"/>
      <w:numFmt w:val="decimal"/>
      <w:lvlText w:val="%1."/>
      <w:lvlJc w:val="left"/>
      <w:pPr>
        <w:ind w:left="720" w:hanging="360"/>
      </w:pPr>
    </w:lvl>
    <w:lvl w:ilvl="1" w:tplc="D83877A6">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C73524"/>
    <w:multiLevelType w:val="hybridMultilevel"/>
    <w:tmpl w:val="D034059E"/>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start w:val="1"/>
      <w:numFmt w:val="lowerLetter"/>
      <w:lvlText w:val="%5."/>
      <w:lvlJc w:val="left"/>
      <w:pPr>
        <w:ind w:left="3645" w:hanging="360"/>
      </w:pPr>
    </w:lvl>
    <w:lvl w:ilvl="5" w:tplc="0809001B">
      <w:start w:val="1"/>
      <w:numFmt w:val="lowerRoman"/>
      <w:lvlText w:val="%6."/>
      <w:lvlJc w:val="right"/>
      <w:pPr>
        <w:ind w:left="4365" w:hanging="180"/>
      </w:pPr>
    </w:lvl>
    <w:lvl w:ilvl="6" w:tplc="0809000F">
      <w:start w:val="1"/>
      <w:numFmt w:val="decimal"/>
      <w:lvlText w:val="%7."/>
      <w:lvlJc w:val="left"/>
      <w:pPr>
        <w:ind w:left="5085" w:hanging="360"/>
      </w:pPr>
    </w:lvl>
    <w:lvl w:ilvl="7" w:tplc="08090019">
      <w:start w:val="1"/>
      <w:numFmt w:val="lowerLetter"/>
      <w:lvlText w:val="%8."/>
      <w:lvlJc w:val="left"/>
      <w:pPr>
        <w:ind w:left="5805" w:hanging="360"/>
      </w:pPr>
    </w:lvl>
    <w:lvl w:ilvl="8" w:tplc="0809001B">
      <w:start w:val="1"/>
      <w:numFmt w:val="lowerRoman"/>
      <w:lvlText w:val="%9."/>
      <w:lvlJc w:val="right"/>
      <w:pPr>
        <w:ind w:left="6525" w:hanging="180"/>
      </w:pPr>
    </w:lvl>
  </w:abstractNum>
  <w:abstractNum w:abstractNumId="2" w15:restartNumberingAfterBreak="0">
    <w:nsid w:val="1B829E0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BCC11AA"/>
    <w:multiLevelType w:val="multilevel"/>
    <w:tmpl w:val="7D581114"/>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218F22CA"/>
    <w:multiLevelType w:val="hybridMultilevel"/>
    <w:tmpl w:val="B03EC282"/>
    <w:lvl w:ilvl="0" w:tplc="827EC344">
      <w:start w:val="202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50B84"/>
    <w:multiLevelType w:val="hybridMultilevel"/>
    <w:tmpl w:val="E9589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0E0157"/>
    <w:multiLevelType w:val="hybridMultilevel"/>
    <w:tmpl w:val="A718AE62"/>
    <w:lvl w:ilvl="0" w:tplc="7424261C">
      <w:start w:val="1"/>
      <w:numFmt w:val="decimal"/>
      <w:lvlText w:val="%1."/>
      <w:lvlJc w:val="left"/>
      <w:pPr>
        <w:ind w:left="360" w:hanging="360"/>
      </w:pPr>
      <w:rPr>
        <w:color w:val="auto"/>
      </w:rPr>
    </w:lvl>
    <w:lvl w:ilvl="1" w:tplc="6A9683D8">
      <w:numFmt w:val="bullet"/>
      <w:lvlText w:val="-"/>
      <w:lvlJc w:val="left"/>
      <w:pPr>
        <w:ind w:left="1440" w:hanging="360"/>
      </w:pPr>
      <w:rPr>
        <w:rFonts w:ascii="Calibri" w:eastAsia="Aptos"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79569D"/>
    <w:multiLevelType w:val="hybridMultilevel"/>
    <w:tmpl w:val="48AC44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9F46511"/>
    <w:multiLevelType w:val="hybridMultilevel"/>
    <w:tmpl w:val="9470F920"/>
    <w:lvl w:ilvl="0" w:tplc="F93E6F9E">
      <w:start w:val="2025"/>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E54FC8"/>
    <w:multiLevelType w:val="hybridMultilevel"/>
    <w:tmpl w:val="C8F02E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612043"/>
    <w:multiLevelType w:val="hybridMultilevel"/>
    <w:tmpl w:val="9F82B9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202742"/>
    <w:multiLevelType w:val="multilevel"/>
    <w:tmpl w:val="8FB6A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F151AF"/>
    <w:multiLevelType w:val="hybridMultilevel"/>
    <w:tmpl w:val="DDBAC8F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6A3A0DD8"/>
    <w:multiLevelType w:val="hybridMultilevel"/>
    <w:tmpl w:val="E33E432A"/>
    <w:lvl w:ilvl="0" w:tplc="0ABACAC2">
      <w:start w:val="1"/>
      <w:numFmt w:val="decimal"/>
      <w:lvlText w:val="%1."/>
      <w:lvlJc w:val="left"/>
      <w:pPr>
        <w:ind w:left="720" w:hanging="360"/>
      </w:pPr>
      <w:rPr>
        <w:rFonts w:asciiTheme="minorHAnsi" w:hAnsiTheme="minorHAnsi" w:hint="default"/>
        <w:b/>
        <w:bCs/>
        <w:sz w:val="22"/>
        <w:szCs w:val="22"/>
      </w:rPr>
    </w:lvl>
    <w:lvl w:ilvl="1" w:tplc="011C0C0A">
      <w:start w:val="1"/>
      <w:numFmt w:val="lowerLetter"/>
      <w:lvlText w:val="%2."/>
      <w:lvlJc w:val="left"/>
      <w:pPr>
        <w:ind w:left="1540" w:hanging="460"/>
      </w:pPr>
      <w:rPr>
        <w:rFonts w:asciiTheme="minorHAnsi" w:hAnsiTheme="minorHAnsi" w:hint="default"/>
        <w:b/>
        <w:bCs/>
        <w:color w:val="auto"/>
        <w:sz w:val="22"/>
        <w:szCs w:val="22"/>
      </w:rPr>
    </w:lvl>
    <w:lvl w:ilvl="2" w:tplc="3C5608B8">
      <w:start w:val="5"/>
      <w:numFmt w:val="bullet"/>
      <w:lvlText w:val="·"/>
      <w:lvlJc w:val="left"/>
      <w:pPr>
        <w:ind w:left="2450" w:hanging="470"/>
      </w:pPr>
      <w:rPr>
        <w:rFonts w:ascii="Aptos" w:eastAsiaTheme="minorHAnsi" w:hAnsi="Aptos"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310AA5"/>
    <w:multiLevelType w:val="hybridMultilevel"/>
    <w:tmpl w:val="74BA5ED0"/>
    <w:lvl w:ilvl="0" w:tplc="A9B6519E">
      <w:start w:val="1"/>
      <w:numFmt w:val="decimal"/>
      <w:lvlText w:val="%1."/>
      <w:lvlJc w:val="left"/>
      <w:pPr>
        <w:ind w:left="360" w:hanging="360"/>
      </w:pPr>
      <w:rPr>
        <w:b/>
        <w:bCs/>
        <w:strike w:val="0"/>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6FCE0537"/>
    <w:multiLevelType w:val="hybridMultilevel"/>
    <w:tmpl w:val="9E943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B51500"/>
    <w:multiLevelType w:val="hybridMultilevel"/>
    <w:tmpl w:val="A7142A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9BB5356"/>
    <w:multiLevelType w:val="hybridMultilevel"/>
    <w:tmpl w:val="EF9252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27592053">
    <w:abstractNumId w:val="13"/>
  </w:num>
  <w:num w:numId="2" w16cid:durableId="447238498">
    <w:abstractNumId w:val="11"/>
  </w:num>
  <w:num w:numId="3" w16cid:durableId="1583372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7296380">
    <w:abstractNumId w:val="10"/>
  </w:num>
  <w:num w:numId="5" w16cid:durableId="577515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7517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7813549">
    <w:abstractNumId w:val="7"/>
  </w:num>
  <w:num w:numId="8" w16cid:durableId="1048072981">
    <w:abstractNumId w:val="0"/>
  </w:num>
  <w:num w:numId="9" w16cid:durableId="2019962865">
    <w:abstractNumId w:val="9"/>
  </w:num>
  <w:num w:numId="10" w16cid:durableId="1934121774">
    <w:abstractNumId w:val="6"/>
  </w:num>
  <w:num w:numId="11" w16cid:durableId="2006205557">
    <w:abstractNumId w:val="16"/>
  </w:num>
  <w:num w:numId="12" w16cid:durableId="78794157">
    <w:abstractNumId w:val="5"/>
  </w:num>
  <w:num w:numId="13" w16cid:durableId="1835611964">
    <w:abstractNumId w:val="2"/>
  </w:num>
  <w:num w:numId="14" w16cid:durableId="1853563912">
    <w:abstractNumId w:val="8"/>
  </w:num>
  <w:num w:numId="15" w16cid:durableId="1919366502">
    <w:abstractNumId w:val="4"/>
  </w:num>
  <w:num w:numId="16" w16cid:durableId="18287443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0324859">
    <w:abstractNumId w:val="15"/>
  </w:num>
  <w:num w:numId="18" w16cid:durableId="21055650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27774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2C"/>
    <w:rsid w:val="00044004"/>
    <w:rsid w:val="00047B9D"/>
    <w:rsid w:val="00064AD4"/>
    <w:rsid w:val="0009270F"/>
    <w:rsid w:val="00093859"/>
    <w:rsid w:val="001470EF"/>
    <w:rsid w:val="00150EEF"/>
    <w:rsid w:val="00164499"/>
    <w:rsid w:val="00195741"/>
    <w:rsid w:val="001A585B"/>
    <w:rsid w:val="00261C78"/>
    <w:rsid w:val="00270036"/>
    <w:rsid w:val="0027012C"/>
    <w:rsid w:val="0027188C"/>
    <w:rsid w:val="0027432E"/>
    <w:rsid w:val="00274894"/>
    <w:rsid w:val="00291DE8"/>
    <w:rsid w:val="0029658F"/>
    <w:rsid w:val="002A7793"/>
    <w:rsid w:val="002E57AF"/>
    <w:rsid w:val="00302CBA"/>
    <w:rsid w:val="00306F0B"/>
    <w:rsid w:val="00320546"/>
    <w:rsid w:val="00345475"/>
    <w:rsid w:val="00365C44"/>
    <w:rsid w:val="00370AC4"/>
    <w:rsid w:val="003746FB"/>
    <w:rsid w:val="003A378A"/>
    <w:rsid w:val="003A6373"/>
    <w:rsid w:val="003B23BB"/>
    <w:rsid w:val="003D2C7A"/>
    <w:rsid w:val="00401D56"/>
    <w:rsid w:val="00413DD3"/>
    <w:rsid w:val="004202A4"/>
    <w:rsid w:val="00423F49"/>
    <w:rsid w:val="004421CC"/>
    <w:rsid w:val="00442919"/>
    <w:rsid w:val="00462E69"/>
    <w:rsid w:val="00474855"/>
    <w:rsid w:val="004771E5"/>
    <w:rsid w:val="004C1AC5"/>
    <w:rsid w:val="004D7E2F"/>
    <w:rsid w:val="004E522E"/>
    <w:rsid w:val="005104B9"/>
    <w:rsid w:val="005B329E"/>
    <w:rsid w:val="005D6BC4"/>
    <w:rsid w:val="005E0C7E"/>
    <w:rsid w:val="00611C42"/>
    <w:rsid w:val="006747D4"/>
    <w:rsid w:val="00692A06"/>
    <w:rsid w:val="00694008"/>
    <w:rsid w:val="006970FB"/>
    <w:rsid w:val="006A4AB0"/>
    <w:rsid w:val="006C4E10"/>
    <w:rsid w:val="006E2D38"/>
    <w:rsid w:val="006E411B"/>
    <w:rsid w:val="00732002"/>
    <w:rsid w:val="00763504"/>
    <w:rsid w:val="007640CE"/>
    <w:rsid w:val="00784387"/>
    <w:rsid w:val="00793160"/>
    <w:rsid w:val="007C568E"/>
    <w:rsid w:val="007E1A3F"/>
    <w:rsid w:val="0082620F"/>
    <w:rsid w:val="00835A30"/>
    <w:rsid w:val="00837994"/>
    <w:rsid w:val="00846C12"/>
    <w:rsid w:val="00863E30"/>
    <w:rsid w:val="008848F5"/>
    <w:rsid w:val="008A37D8"/>
    <w:rsid w:val="008B2A32"/>
    <w:rsid w:val="008B42F2"/>
    <w:rsid w:val="008B43F5"/>
    <w:rsid w:val="008F22D6"/>
    <w:rsid w:val="00952BC1"/>
    <w:rsid w:val="009609B5"/>
    <w:rsid w:val="00965FC9"/>
    <w:rsid w:val="009F5F16"/>
    <w:rsid w:val="00A057BB"/>
    <w:rsid w:val="00A56616"/>
    <w:rsid w:val="00A60349"/>
    <w:rsid w:val="00A62431"/>
    <w:rsid w:val="00A82C04"/>
    <w:rsid w:val="00AB37F6"/>
    <w:rsid w:val="00AB3870"/>
    <w:rsid w:val="00AE1EB8"/>
    <w:rsid w:val="00AE2F85"/>
    <w:rsid w:val="00AE38E9"/>
    <w:rsid w:val="00AE4486"/>
    <w:rsid w:val="00B075A7"/>
    <w:rsid w:val="00B1358F"/>
    <w:rsid w:val="00BA0EFF"/>
    <w:rsid w:val="00BA1253"/>
    <w:rsid w:val="00BA6551"/>
    <w:rsid w:val="00BB4FC7"/>
    <w:rsid w:val="00BB7CF0"/>
    <w:rsid w:val="00BD2DBE"/>
    <w:rsid w:val="00BD6182"/>
    <w:rsid w:val="00BD6BE8"/>
    <w:rsid w:val="00C333B2"/>
    <w:rsid w:val="00C42ABB"/>
    <w:rsid w:val="00C45E88"/>
    <w:rsid w:val="00C47B0C"/>
    <w:rsid w:val="00C726B2"/>
    <w:rsid w:val="00C80F85"/>
    <w:rsid w:val="00C94F4C"/>
    <w:rsid w:val="00CB2932"/>
    <w:rsid w:val="00CC2571"/>
    <w:rsid w:val="00CF47FD"/>
    <w:rsid w:val="00CF7A56"/>
    <w:rsid w:val="00D26782"/>
    <w:rsid w:val="00D41133"/>
    <w:rsid w:val="00D46C11"/>
    <w:rsid w:val="00D73FC4"/>
    <w:rsid w:val="00DA598D"/>
    <w:rsid w:val="00DA7E1E"/>
    <w:rsid w:val="00DD0CF9"/>
    <w:rsid w:val="00DF2E59"/>
    <w:rsid w:val="00E163C2"/>
    <w:rsid w:val="00E26951"/>
    <w:rsid w:val="00E42794"/>
    <w:rsid w:val="00E4320B"/>
    <w:rsid w:val="00E673F8"/>
    <w:rsid w:val="00E70BFA"/>
    <w:rsid w:val="00E70C2A"/>
    <w:rsid w:val="00E87FA5"/>
    <w:rsid w:val="00E90E62"/>
    <w:rsid w:val="00E95FB8"/>
    <w:rsid w:val="00EC7FF8"/>
    <w:rsid w:val="00ED5EC1"/>
    <w:rsid w:val="00ED6B23"/>
    <w:rsid w:val="00ED6D22"/>
    <w:rsid w:val="00F40EF9"/>
    <w:rsid w:val="00F4296B"/>
    <w:rsid w:val="00F45DA7"/>
    <w:rsid w:val="00F468F8"/>
    <w:rsid w:val="00F67E16"/>
    <w:rsid w:val="00F71A27"/>
    <w:rsid w:val="00F969A2"/>
    <w:rsid w:val="00FA0630"/>
    <w:rsid w:val="00FB1B9B"/>
    <w:rsid w:val="00FD0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C9633"/>
  <w15:chartTrackingRefBased/>
  <w15:docId w15:val="{A0814D9A-B90D-4B8A-9A4F-CDD932F7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1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1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1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1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1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1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1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1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1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1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1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1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1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1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1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1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1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12C"/>
    <w:rPr>
      <w:rFonts w:eastAsiaTheme="majorEastAsia" w:cstheme="majorBidi"/>
      <w:color w:val="272727" w:themeColor="text1" w:themeTint="D8"/>
    </w:rPr>
  </w:style>
  <w:style w:type="paragraph" w:styleId="Title">
    <w:name w:val="Title"/>
    <w:basedOn w:val="Normal"/>
    <w:next w:val="Normal"/>
    <w:link w:val="TitleChar"/>
    <w:uiPriority w:val="10"/>
    <w:qFormat/>
    <w:rsid w:val="00270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1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12C"/>
    <w:pPr>
      <w:spacing w:before="160"/>
      <w:jc w:val="center"/>
    </w:pPr>
    <w:rPr>
      <w:i/>
      <w:iCs/>
      <w:color w:val="404040" w:themeColor="text1" w:themeTint="BF"/>
    </w:rPr>
  </w:style>
  <w:style w:type="character" w:customStyle="1" w:styleId="QuoteChar">
    <w:name w:val="Quote Char"/>
    <w:basedOn w:val="DefaultParagraphFont"/>
    <w:link w:val="Quote"/>
    <w:uiPriority w:val="29"/>
    <w:rsid w:val="0027012C"/>
    <w:rPr>
      <w:i/>
      <w:iCs/>
      <w:color w:val="404040" w:themeColor="text1" w:themeTint="BF"/>
    </w:rPr>
  </w:style>
  <w:style w:type="paragraph" w:styleId="ListParagraph">
    <w:name w:val="List Paragraph"/>
    <w:basedOn w:val="Normal"/>
    <w:uiPriority w:val="34"/>
    <w:qFormat/>
    <w:rsid w:val="0027012C"/>
    <w:pPr>
      <w:ind w:left="720"/>
      <w:contextualSpacing/>
    </w:pPr>
  </w:style>
  <w:style w:type="character" w:styleId="IntenseEmphasis">
    <w:name w:val="Intense Emphasis"/>
    <w:basedOn w:val="DefaultParagraphFont"/>
    <w:uiPriority w:val="21"/>
    <w:qFormat/>
    <w:rsid w:val="0027012C"/>
    <w:rPr>
      <w:i/>
      <w:iCs/>
      <w:color w:val="0F4761" w:themeColor="accent1" w:themeShade="BF"/>
    </w:rPr>
  </w:style>
  <w:style w:type="paragraph" w:styleId="IntenseQuote">
    <w:name w:val="Intense Quote"/>
    <w:basedOn w:val="Normal"/>
    <w:next w:val="Normal"/>
    <w:link w:val="IntenseQuoteChar"/>
    <w:uiPriority w:val="30"/>
    <w:qFormat/>
    <w:rsid w:val="00270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12C"/>
    <w:rPr>
      <w:i/>
      <w:iCs/>
      <w:color w:val="0F4761" w:themeColor="accent1" w:themeShade="BF"/>
    </w:rPr>
  </w:style>
  <w:style w:type="character" w:styleId="IntenseReference">
    <w:name w:val="Intense Reference"/>
    <w:basedOn w:val="DefaultParagraphFont"/>
    <w:uiPriority w:val="32"/>
    <w:qFormat/>
    <w:rsid w:val="0027012C"/>
    <w:rPr>
      <w:b/>
      <w:bCs/>
      <w:smallCaps/>
      <w:color w:val="0F4761" w:themeColor="accent1" w:themeShade="BF"/>
      <w:spacing w:val="5"/>
    </w:rPr>
  </w:style>
  <w:style w:type="table" w:styleId="TableGrid">
    <w:name w:val="Table Grid"/>
    <w:basedOn w:val="TableNormal"/>
    <w:uiPriority w:val="39"/>
    <w:rsid w:val="00270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23BB"/>
    <w:rPr>
      <w:color w:val="467886" w:themeColor="hyperlink"/>
      <w:u w:val="single"/>
    </w:rPr>
  </w:style>
  <w:style w:type="character" w:styleId="UnresolvedMention">
    <w:name w:val="Unresolved Mention"/>
    <w:basedOn w:val="DefaultParagraphFont"/>
    <w:uiPriority w:val="99"/>
    <w:semiHidden/>
    <w:unhideWhenUsed/>
    <w:rsid w:val="005E0C7E"/>
    <w:rPr>
      <w:color w:val="605E5C"/>
      <w:shd w:val="clear" w:color="auto" w:fill="E1DFDD"/>
    </w:rPr>
  </w:style>
  <w:style w:type="character" w:customStyle="1" w:styleId="gmail-apple-converted-space">
    <w:name w:val="gmail-apple-converted-space"/>
    <w:basedOn w:val="DefaultParagraphFont"/>
    <w:rsid w:val="00270036"/>
  </w:style>
  <w:style w:type="character" w:styleId="CommentReference">
    <w:name w:val="annotation reference"/>
    <w:basedOn w:val="DefaultParagraphFont"/>
    <w:uiPriority w:val="99"/>
    <w:semiHidden/>
    <w:unhideWhenUsed/>
    <w:rsid w:val="00BD6182"/>
    <w:rPr>
      <w:sz w:val="16"/>
      <w:szCs w:val="16"/>
    </w:rPr>
  </w:style>
  <w:style w:type="paragraph" w:styleId="CommentText">
    <w:name w:val="annotation text"/>
    <w:basedOn w:val="Normal"/>
    <w:link w:val="CommentTextChar"/>
    <w:uiPriority w:val="99"/>
    <w:unhideWhenUsed/>
    <w:rsid w:val="00BD6182"/>
    <w:pPr>
      <w:spacing w:line="240" w:lineRule="auto"/>
    </w:pPr>
    <w:rPr>
      <w:sz w:val="20"/>
      <w:szCs w:val="20"/>
    </w:rPr>
  </w:style>
  <w:style w:type="character" w:customStyle="1" w:styleId="CommentTextChar">
    <w:name w:val="Comment Text Char"/>
    <w:basedOn w:val="DefaultParagraphFont"/>
    <w:link w:val="CommentText"/>
    <w:uiPriority w:val="99"/>
    <w:rsid w:val="00BD6182"/>
    <w:rPr>
      <w:sz w:val="20"/>
      <w:szCs w:val="20"/>
    </w:rPr>
  </w:style>
  <w:style w:type="paragraph" w:styleId="CommentSubject">
    <w:name w:val="annotation subject"/>
    <w:basedOn w:val="CommentText"/>
    <w:next w:val="CommentText"/>
    <w:link w:val="CommentSubjectChar"/>
    <w:uiPriority w:val="99"/>
    <w:semiHidden/>
    <w:unhideWhenUsed/>
    <w:rsid w:val="00BD6182"/>
    <w:rPr>
      <w:b/>
      <w:bCs/>
    </w:rPr>
  </w:style>
  <w:style w:type="character" w:customStyle="1" w:styleId="CommentSubjectChar">
    <w:name w:val="Comment Subject Char"/>
    <w:basedOn w:val="CommentTextChar"/>
    <w:link w:val="CommentSubject"/>
    <w:uiPriority w:val="99"/>
    <w:semiHidden/>
    <w:rsid w:val="00BD6182"/>
    <w:rPr>
      <w:b/>
      <w:bCs/>
      <w:sz w:val="20"/>
      <w:szCs w:val="20"/>
    </w:rPr>
  </w:style>
  <w:style w:type="paragraph" w:styleId="Header">
    <w:name w:val="header"/>
    <w:basedOn w:val="Normal"/>
    <w:link w:val="HeaderChar"/>
    <w:uiPriority w:val="99"/>
    <w:unhideWhenUsed/>
    <w:rsid w:val="00A566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616"/>
  </w:style>
  <w:style w:type="paragraph" w:styleId="Footer">
    <w:name w:val="footer"/>
    <w:basedOn w:val="Normal"/>
    <w:link w:val="FooterChar"/>
    <w:uiPriority w:val="99"/>
    <w:unhideWhenUsed/>
    <w:rsid w:val="00A566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616"/>
  </w:style>
  <w:style w:type="paragraph" w:styleId="Revision">
    <w:name w:val="Revision"/>
    <w:hidden/>
    <w:uiPriority w:val="99"/>
    <w:semiHidden/>
    <w:rsid w:val="00FB1B9B"/>
    <w:pPr>
      <w:spacing w:after="0" w:line="240" w:lineRule="auto"/>
    </w:pPr>
  </w:style>
  <w:style w:type="paragraph" w:styleId="TOCHeading">
    <w:name w:val="TOC Heading"/>
    <w:basedOn w:val="Heading1"/>
    <w:next w:val="Normal"/>
    <w:uiPriority w:val="39"/>
    <w:unhideWhenUsed/>
    <w:qFormat/>
    <w:rsid w:val="00ED6D22"/>
    <w:pPr>
      <w:spacing w:before="240" w:after="0"/>
      <w:outlineLvl w:val="9"/>
    </w:pPr>
    <w:rPr>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8581">
      <w:bodyDiv w:val="1"/>
      <w:marLeft w:val="0"/>
      <w:marRight w:val="0"/>
      <w:marTop w:val="0"/>
      <w:marBottom w:val="0"/>
      <w:divBdr>
        <w:top w:val="none" w:sz="0" w:space="0" w:color="auto"/>
        <w:left w:val="none" w:sz="0" w:space="0" w:color="auto"/>
        <w:bottom w:val="none" w:sz="0" w:space="0" w:color="auto"/>
        <w:right w:val="none" w:sz="0" w:space="0" w:color="auto"/>
      </w:divBdr>
    </w:div>
    <w:div w:id="173303925">
      <w:bodyDiv w:val="1"/>
      <w:marLeft w:val="0"/>
      <w:marRight w:val="0"/>
      <w:marTop w:val="0"/>
      <w:marBottom w:val="0"/>
      <w:divBdr>
        <w:top w:val="none" w:sz="0" w:space="0" w:color="auto"/>
        <w:left w:val="none" w:sz="0" w:space="0" w:color="auto"/>
        <w:bottom w:val="none" w:sz="0" w:space="0" w:color="auto"/>
        <w:right w:val="none" w:sz="0" w:space="0" w:color="auto"/>
      </w:divBdr>
    </w:div>
    <w:div w:id="255746434">
      <w:bodyDiv w:val="1"/>
      <w:marLeft w:val="0"/>
      <w:marRight w:val="0"/>
      <w:marTop w:val="0"/>
      <w:marBottom w:val="0"/>
      <w:divBdr>
        <w:top w:val="none" w:sz="0" w:space="0" w:color="auto"/>
        <w:left w:val="none" w:sz="0" w:space="0" w:color="auto"/>
        <w:bottom w:val="none" w:sz="0" w:space="0" w:color="auto"/>
        <w:right w:val="none" w:sz="0" w:space="0" w:color="auto"/>
      </w:divBdr>
    </w:div>
    <w:div w:id="477652564">
      <w:bodyDiv w:val="1"/>
      <w:marLeft w:val="0"/>
      <w:marRight w:val="0"/>
      <w:marTop w:val="0"/>
      <w:marBottom w:val="0"/>
      <w:divBdr>
        <w:top w:val="none" w:sz="0" w:space="0" w:color="auto"/>
        <w:left w:val="none" w:sz="0" w:space="0" w:color="auto"/>
        <w:bottom w:val="none" w:sz="0" w:space="0" w:color="auto"/>
        <w:right w:val="none" w:sz="0" w:space="0" w:color="auto"/>
      </w:divBdr>
    </w:div>
    <w:div w:id="512572096">
      <w:bodyDiv w:val="1"/>
      <w:marLeft w:val="0"/>
      <w:marRight w:val="0"/>
      <w:marTop w:val="0"/>
      <w:marBottom w:val="0"/>
      <w:divBdr>
        <w:top w:val="none" w:sz="0" w:space="0" w:color="auto"/>
        <w:left w:val="none" w:sz="0" w:space="0" w:color="auto"/>
        <w:bottom w:val="none" w:sz="0" w:space="0" w:color="auto"/>
        <w:right w:val="none" w:sz="0" w:space="0" w:color="auto"/>
      </w:divBdr>
    </w:div>
    <w:div w:id="789713725">
      <w:bodyDiv w:val="1"/>
      <w:marLeft w:val="0"/>
      <w:marRight w:val="0"/>
      <w:marTop w:val="0"/>
      <w:marBottom w:val="0"/>
      <w:divBdr>
        <w:top w:val="none" w:sz="0" w:space="0" w:color="auto"/>
        <w:left w:val="none" w:sz="0" w:space="0" w:color="auto"/>
        <w:bottom w:val="none" w:sz="0" w:space="0" w:color="auto"/>
        <w:right w:val="none" w:sz="0" w:space="0" w:color="auto"/>
      </w:divBdr>
    </w:div>
    <w:div w:id="870580390">
      <w:bodyDiv w:val="1"/>
      <w:marLeft w:val="0"/>
      <w:marRight w:val="0"/>
      <w:marTop w:val="0"/>
      <w:marBottom w:val="0"/>
      <w:divBdr>
        <w:top w:val="none" w:sz="0" w:space="0" w:color="auto"/>
        <w:left w:val="none" w:sz="0" w:space="0" w:color="auto"/>
        <w:bottom w:val="none" w:sz="0" w:space="0" w:color="auto"/>
        <w:right w:val="none" w:sz="0" w:space="0" w:color="auto"/>
      </w:divBdr>
    </w:div>
    <w:div w:id="922299440">
      <w:bodyDiv w:val="1"/>
      <w:marLeft w:val="0"/>
      <w:marRight w:val="0"/>
      <w:marTop w:val="0"/>
      <w:marBottom w:val="0"/>
      <w:divBdr>
        <w:top w:val="none" w:sz="0" w:space="0" w:color="auto"/>
        <w:left w:val="none" w:sz="0" w:space="0" w:color="auto"/>
        <w:bottom w:val="none" w:sz="0" w:space="0" w:color="auto"/>
        <w:right w:val="none" w:sz="0" w:space="0" w:color="auto"/>
      </w:divBdr>
    </w:div>
    <w:div w:id="1030381253">
      <w:bodyDiv w:val="1"/>
      <w:marLeft w:val="0"/>
      <w:marRight w:val="0"/>
      <w:marTop w:val="0"/>
      <w:marBottom w:val="0"/>
      <w:divBdr>
        <w:top w:val="none" w:sz="0" w:space="0" w:color="auto"/>
        <w:left w:val="none" w:sz="0" w:space="0" w:color="auto"/>
        <w:bottom w:val="none" w:sz="0" w:space="0" w:color="auto"/>
        <w:right w:val="none" w:sz="0" w:space="0" w:color="auto"/>
      </w:divBdr>
    </w:div>
    <w:div w:id="1078819029">
      <w:bodyDiv w:val="1"/>
      <w:marLeft w:val="0"/>
      <w:marRight w:val="0"/>
      <w:marTop w:val="0"/>
      <w:marBottom w:val="0"/>
      <w:divBdr>
        <w:top w:val="none" w:sz="0" w:space="0" w:color="auto"/>
        <w:left w:val="none" w:sz="0" w:space="0" w:color="auto"/>
        <w:bottom w:val="none" w:sz="0" w:space="0" w:color="auto"/>
        <w:right w:val="none" w:sz="0" w:space="0" w:color="auto"/>
      </w:divBdr>
    </w:div>
    <w:div w:id="1084187064">
      <w:bodyDiv w:val="1"/>
      <w:marLeft w:val="0"/>
      <w:marRight w:val="0"/>
      <w:marTop w:val="0"/>
      <w:marBottom w:val="0"/>
      <w:divBdr>
        <w:top w:val="none" w:sz="0" w:space="0" w:color="auto"/>
        <w:left w:val="none" w:sz="0" w:space="0" w:color="auto"/>
        <w:bottom w:val="none" w:sz="0" w:space="0" w:color="auto"/>
        <w:right w:val="none" w:sz="0" w:space="0" w:color="auto"/>
      </w:divBdr>
    </w:div>
    <w:div w:id="1115369303">
      <w:bodyDiv w:val="1"/>
      <w:marLeft w:val="0"/>
      <w:marRight w:val="0"/>
      <w:marTop w:val="0"/>
      <w:marBottom w:val="0"/>
      <w:divBdr>
        <w:top w:val="none" w:sz="0" w:space="0" w:color="auto"/>
        <w:left w:val="none" w:sz="0" w:space="0" w:color="auto"/>
        <w:bottom w:val="none" w:sz="0" w:space="0" w:color="auto"/>
        <w:right w:val="none" w:sz="0" w:space="0" w:color="auto"/>
      </w:divBdr>
    </w:div>
    <w:div w:id="1435975896">
      <w:bodyDiv w:val="1"/>
      <w:marLeft w:val="0"/>
      <w:marRight w:val="0"/>
      <w:marTop w:val="0"/>
      <w:marBottom w:val="0"/>
      <w:divBdr>
        <w:top w:val="none" w:sz="0" w:space="0" w:color="auto"/>
        <w:left w:val="none" w:sz="0" w:space="0" w:color="auto"/>
        <w:bottom w:val="none" w:sz="0" w:space="0" w:color="auto"/>
        <w:right w:val="none" w:sz="0" w:space="0" w:color="auto"/>
      </w:divBdr>
    </w:div>
    <w:div w:id="1548445287">
      <w:bodyDiv w:val="1"/>
      <w:marLeft w:val="0"/>
      <w:marRight w:val="0"/>
      <w:marTop w:val="0"/>
      <w:marBottom w:val="0"/>
      <w:divBdr>
        <w:top w:val="none" w:sz="0" w:space="0" w:color="auto"/>
        <w:left w:val="none" w:sz="0" w:space="0" w:color="auto"/>
        <w:bottom w:val="none" w:sz="0" w:space="0" w:color="auto"/>
        <w:right w:val="none" w:sz="0" w:space="0" w:color="auto"/>
      </w:divBdr>
    </w:div>
    <w:div w:id="1650207126">
      <w:bodyDiv w:val="1"/>
      <w:marLeft w:val="0"/>
      <w:marRight w:val="0"/>
      <w:marTop w:val="0"/>
      <w:marBottom w:val="0"/>
      <w:divBdr>
        <w:top w:val="none" w:sz="0" w:space="0" w:color="auto"/>
        <w:left w:val="none" w:sz="0" w:space="0" w:color="auto"/>
        <w:bottom w:val="none" w:sz="0" w:space="0" w:color="auto"/>
        <w:right w:val="none" w:sz="0" w:space="0" w:color="auto"/>
      </w:divBdr>
    </w:div>
    <w:div w:id="1871145369">
      <w:bodyDiv w:val="1"/>
      <w:marLeft w:val="0"/>
      <w:marRight w:val="0"/>
      <w:marTop w:val="0"/>
      <w:marBottom w:val="0"/>
      <w:divBdr>
        <w:top w:val="none" w:sz="0" w:space="0" w:color="auto"/>
        <w:left w:val="none" w:sz="0" w:space="0" w:color="auto"/>
        <w:bottom w:val="none" w:sz="0" w:space="0" w:color="auto"/>
        <w:right w:val="none" w:sz="0" w:space="0" w:color="auto"/>
      </w:divBdr>
    </w:div>
    <w:div w:id="1900894611">
      <w:bodyDiv w:val="1"/>
      <w:marLeft w:val="0"/>
      <w:marRight w:val="0"/>
      <w:marTop w:val="0"/>
      <w:marBottom w:val="0"/>
      <w:divBdr>
        <w:top w:val="none" w:sz="0" w:space="0" w:color="auto"/>
        <w:left w:val="none" w:sz="0" w:space="0" w:color="auto"/>
        <w:bottom w:val="none" w:sz="0" w:space="0" w:color="auto"/>
        <w:right w:val="none" w:sz="0" w:space="0" w:color="auto"/>
      </w:divBdr>
    </w:div>
    <w:div w:id="211316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forcealliance.nhs.uk/frameworks/clinical-and-healthcare-staffing/" TargetMode="External"/><Relationship Id="rId13" Type="http://schemas.openxmlformats.org/officeDocument/2006/relationships/hyperlink" Target="https://ico.org.uk/for-organisations/guide-to-freedom-of-information/refusing-a-reque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br01.safelinks.protection.outlook.com/?url=https%3A%2F%2Fwww.kch.nhs.uk%2Fservices%2F&amp;data=05%7C01%7Ccaroline.perry3%40nhs.net%7Cc2b2a147c610428bc9f408db5535428d%7C37c354b285b047f5b22207b48d774ee3%7C0%7C0%7C638197459447848328%7CUnknown%7CTWFpbGZsb3d8eyJWIjoiMC4wLjAwMDAiLCJQIjoiV2luMzIiLCJBTiI6Ik1haWwiLCJXVCI6Mn0%3D%7C3000%7C%7C%7C&amp;sdata=80E6dS3V%2Fv%2FW%2F0AimXyIars2ObWYT7P67Iyed6B2OJI%3D&amp;reserve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r01.safelinks.protection.outlook.com/?url=https%3A%2F%2Fwww.kch.nhs.uk%2Fdocument%2Fcorporate-structure%2F&amp;data=05%7C01%7Ccaroline.perry3%40nhs.net%7Cc2b2a147c610428bc9f408db5535428d%7C37c354b285b047f5b22207b48d774ee3%7C0%7C0%7C638197459447848328%7CUnknown%7CTWFpbGZsb3d8eyJWIjoiMC4wLjAwMDAiLCJQIjoiV2luMzIiLCJBTiI6Ik1haWwiLCJXVCI6Mn0%3D%7C3000%7C%7C%7C&amp;sdata=7zCoCwOIRnNWSz%2Bxxf5HhrBdSKQxvhEowlwW5QisK1I%3D&amp;reserve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ee.nhs.uk/our-work/capitalahp" TargetMode="External"/><Relationship Id="rId4" Type="http://schemas.openxmlformats.org/officeDocument/2006/relationships/settings" Target="settings.xml"/><Relationship Id="rId9" Type="http://schemas.openxmlformats.org/officeDocument/2006/relationships/hyperlink" Target="https://www.workforcealliance.nhs.uk/frameworks/clinical-and-healthcare-staff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7F0CA-C117-461B-A96C-4287823E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Sarah</dc:creator>
  <cp:keywords/>
  <dc:description/>
  <cp:lastModifiedBy>MUNROE, Danielle (KING'S COLLEGE HOSPITAL NHS FOUNDATION TRUST)</cp:lastModifiedBy>
  <cp:revision>2</cp:revision>
  <dcterms:created xsi:type="dcterms:W3CDTF">2025-08-26T11:59:00Z</dcterms:created>
  <dcterms:modified xsi:type="dcterms:W3CDTF">2025-08-26T11:59:00Z</dcterms:modified>
</cp:coreProperties>
</file>