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AC" w:rsidRPr="006011B9" w:rsidRDefault="00E478AC" w:rsidP="00D127BD">
      <w:pPr>
        <w:pStyle w:val="Heading1"/>
        <w:spacing w:before="120" w:after="120"/>
        <w:ind w:left="-709" w:hanging="142"/>
        <w:jc w:val="center"/>
        <w:rPr>
          <w:rFonts w:ascii="Arial" w:hAnsi="Arial" w:cs="Arial"/>
          <w:color w:val="548DD4" w:themeColor="text2" w:themeTint="99"/>
          <w:sz w:val="28"/>
          <w:szCs w:val="28"/>
          <w:u w:val="single"/>
        </w:rPr>
      </w:pPr>
      <w:r w:rsidRPr="006011B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 xml:space="preserve">South East London </w:t>
      </w:r>
      <w:proofErr w:type="spellStart"/>
      <w:r w:rsidRPr="006011B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Neurorehabilitation</w:t>
      </w:r>
      <w:proofErr w:type="spellEnd"/>
      <w:r w:rsidRPr="006011B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 xml:space="preserve"> Service</w:t>
      </w:r>
    </w:p>
    <w:p w:rsidR="00C82E48" w:rsidRPr="006011B9" w:rsidRDefault="00E478AC" w:rsidP="00D127BD">
      <w:pPr>
        <w:pStyle w:val="Heading1"/>
        <w:spacing w:before="120" w:after="120"/>
        <w:ind w:left="-709" w:hanging="142"/>
        <w:jc w:val="center"/>
        <w:rPr>
          <w:rFonts w:ascii="Arial" w:hAnsi="Arial" w:cs="Arial"/>
          <w:color w:val="548DD4" w:themeColor="text2" w:themeTint="99"/>
          <w:sz w:val="28"/>
          <w:szCs w:val="28"/>
          <w:u w:val="single"/>
        </w:rPr>
      </w:pPr>
      <w:r w:rsidRPr="006011B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Service</w:t>
      </w:r>
      <w:r w:rsidR="00C2123F" w:rsidRPr="006011B9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 xml:space="preserve"> Specification and Admission Criteria</w:t>
      </w:r>
    </w:p>
    <w:p w:rsidR="00C2123F" w:rsidRPr="006E1755" w:rsidRDefault="00C2123F" w:rsidP="00C2123F">
      <w:pPr>
        <w:rPr>
          <w:rFonts w:ascii="Arial" w:hAnsi="Arial" w:cs="Arial"/>
          <w:sz w:val="20"/>
          <w:szCs w:val="20"/>
        </w:rPr>
      </w:pP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360"/>
      </w:tblGrid>
      <w:tr w:rsidR="00C82E48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E48" w:rsidRPr="006E1755" w:rsidRDefault="00C82E48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Name of unit</w:t>
            </w:r>
            <w:r w:rsidR="00184D8F">
              <w:rPr>
                <w:rFonts w:ascii="Arial" w:hAnsi="Arial" w:cs="Arial"/>
                <w:sz w:val="20"/>
                <w:szCs w:val="20"/>
              </w:rPr>
              <w:t>s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</w:tcPr>
          <w:p w:rsidR="00184D8F" w:rsidRDefault="00184D8F" w:rsidP="0089338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797572" w:rsidP="0089338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Ontario</w:t>
            </w:r>
            <w:r w:rsidR="00E478AC">
              <w:rPr>
                <w:rFonts w:ascii="Arial" w:hAnsi="Arial" w:cs="Arial"/>
                <w:sz w:val="20"/>
                <w:szCs w:val="20"/>
              </w:rPr>
              <w:t xml:space="preserve"> Ward</w:t>
            </w:r>
            <w:r w:rsidR="00C82E48" w:rsidRPr="006E1755">
              <w:rPr>
                <w:rFonts w:ascii="Arial" w:hAnsi="Arial" w:cs="Arial"/>
                <w:sz w:val="20"/>
                <w:szCs w:val="20"/>
              </w:rPr>
              <w:t>, King’s College Hospital</w:t>
            </w:r>
            <w:r w:rsidR="00505A0C" w:rsidRPr="006E1755">
              <w:rPr>
                <w:rFonts w:ascii="Arial" w:hAnsi="Arial" w:cs="Arial"/>
                <w:sz w:val="20"/>
                <w:szCs w:val="20"/>
              </w:rPr>
              <w:t xml:space="preserve"> NHS Foundation Trust</w:t>
            </w:r>
            <w:r w:rsidR="00E478AC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C82E48" w:rsidRDefault="00E478AC" w:rsidP="0089338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382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Pulross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382">
              <w:rPr>
                <w:rFonts w:ascii="Arial" w:hAnsi="Arial" w:cs="Arial"/>
                <w:sz w:val="20"/>
                <w:szCs w:val="20"/>
              </w:rPr>
              <w:t>Ward</w:t>
            </w:r>
            <w:r>
              <w:rPr>
                <w:rFonts w:ascii="Arial" w:hAnsi="Arial" w:cs="Arial"/>
                <w:sz w:val="20"/>
                <w:szCs w:val="20"/>
              </w:rPr>
              <w:t xml:space="preserve">, Guy’s and 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Thomas’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NHS Foundation Trust</w:t>
            </w:r>
          </w:p>
          <w:p w:rsidR="006177F9" w:rsidRPr="006177F9" w:rsidRDefault="006177F9" w:rsidP="006177F9"/>
        </w:tc>
      </w:tr>
      <w:tr w:rsidR="00C82E48" w:rsidRPr="006E1755">
        <w:tc>
          <w:tcPr>
            <w:tcW w:w="2160" w:type="dxa"/>
          </w:tcPr>
          <w:p w:rsidR="00184D8F" w:rsidRDefault="00184D8F" w:rsidP="006E1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E48" w:rsidRPr="006E1755" w:rsidRDefault="00C82E48" w:rsidP="006E1755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Location</w:t>
            </w:r>
            <w:r w:rsidR="006E1755">
              <w:rPr>
                <w:rFonts w:ascii="Arial" w:hAnsi="Arial" w:cs="Arial"/>
                <w:sz w:val="20"/>
                <w:szCs w:val="20"/>
              </w:rPr>
              <w:t xml:space="preserve"> / contact</w:t>
            </w:r>
          </w:p>
        </w:tc>
        <w:tc>
          <w:tcPr>
            <w:tcW w:w="9360" w:type="dxa"/>
          </w:tcPr>
          <w:p w:rsidR="00184D8F" w:rsidRDefault="00184D8F" w:rsidP="006E1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E48" w:rsidRPr="006E1755" w:rsidRDefault="006E1755" w:rsidP="006E17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1</w:t>
            </w:r>
            <w:r w:rsidRPr="006E175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floor, Orpington </w:t>
            </w:r>
            <w:r w:rsidR="00505A0C" w:rsidRPr="006E1755">
              <w:rPr>
                <w:rFonts w:ascii="Arial" w:hAnsi="Arial" w:cs="Arial"/>
                <w:sz w:val="20"/>
                <w:szCs w:val="20"/>
              </w:rPr>
              <w:t>Hospital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E175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Sevenoaks Road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6E175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Orpington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6E175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Kent BR6 9JU</w:t>
            </w:r>
          </w:p>
          <w:p w:rsidR="006E1755" w:rsidRDefault="00505A0C" w:rsidP="006E1755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Tel:</w:t>
            </w:r>
            <w:r w:rsidRPr="006E17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0CE6">
              <w:rPr>
                <w:rFonts w:ascii="Arial" w:hAnsi="Arial" w:cs="Arial"/>
                <w:sz w:val="20"/>
                <w:szCs w:val="20"/>
              </w:rPr>
              <w:t>01689 866284</w:t>
            </w:r>
          </w:p>
          <w:p w:rsidR="00E478AC" w:rsidRDefault="00E478AC" w:rsidP="006E17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Pulross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Centre, 47a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Pulross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Road, Brixton, London, SW9 8AE</w:t>
            </w:r>
          </w:p>
          <w:p w:rsidR="00505A0C" w:rsidRPr="00E404D0" w:rsidRDefault="006E1755" w:rsidP="00AF070B">
            <w:pPr>
              <w:rPr>
                <w:rFonts w:ascii="Arial" w:hAnsi="Arial" w:cs="Arial"/>
              </w:rPr>
            </w:pPr>
            <w:r w:rsidRPr="00E404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  <w:hyperlink r:id="rId9" w:history="1">
              <w:r w:rsidR="00E404D0" w:rsidRPr="00E404D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kch-tr.SELNSreferrals@nhs.net</w:t>
              </w:r>
            </w:hyperlink>
          </w:p>
          <w:p w:rsidR="00EC6701" w:rsidRPr="00893382" w:rsidRDefault="00EC6701" w:rsidP="00AF07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184D8F" w:rsidRDefault="00184D8F" w:rsidP="00C97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4D8F" w:rsidRDefault="00184D8F" w:rsidP="00C97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4D8F" w:rsidRDefault="00184D8F" w:rsidP="00C97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4D8F" w:rsidRDefault="00184D8F" w:rsidP="00C97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766B" w:rsidRPr="006E1755" w:rsidRDefault="0001766B" w:rsidP="00C97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755">
              <w:rPr>
                <w:rFonts w:ascii="Arial" w:hAnsi="Arial" w:cs="Arial"/>
                <w:color w:val="000000"/>
                <w:sz w:val="20"/>
                <w:szCs w:val="20"/>
              </w:rPr>
              <w:t>Main groups treated</w:t>
            </w:r>
          </w:p>
        </w:tc>
        <w:tc>
          <w:tcPr>
            <w:tcW w:w="9360" w:type="dxa"/>
          </w:tcPr>
          <w:p w:rsidR="0001766B" w:rsidRDefault="000A7B41" w:rsidP="0086196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Patients aged 18 and over </w:t>
            </w:r>
            <w:r w:rsidR="00885246" w:rsidRPr="006E1755">
              <w:rPr>
                <w:rFonts w:ascii="Arial" w:hAnsi="Arial" w:cs="Arial"/>
                <w:sz w:val="20"/>
                <w:szCs w:val="20"/>
              </w:rPr>
              <w:t>(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8F04E8" w:rsidRPr="006E1755">
              <w:rPr>
                <w:rFonts w:ascii="Arial" w:hAnsi="Arial" w:cs="Arial"/>
                <w:sz w:val="20"/>
                <w:szCs w:val="20"/>
              </w:rPr>
              <w:t xml:space="preserve">patients </w:t>
            </w:r>
            <w:r w:rsidRPr="006E1755">
              <w:rPr>
                <w:rFonts w:ascii="Arial" w:hAnsi="Arial" w:cs="Arial"/>
                <w:sz w:val="20"/>
                <w:szCs w:val="20"/>
              </w:rPr>
              <w:t>aged 16-18 subject to discussion with local paediatric teams</w:t>
            </w:r>
            <w:r w:rsidR="00885246" w:rsidRPr="006E1755">
              <w:rPr>
                <w:rFonts w:ascii="Arial" w:hAnsi="Arial" w:cs="Arial"/>
                <w:sz w:val="20"/>
                <w:szCs w:val="20"/>
              </w:rPr>
              <w:t>)</w:t>
            </w:r>
            <w:r w:rsidR="00D62DF9" w:rsidRPr="00E478AC">
              <w:rPr>
                <w:rFonts w:ascii="Arial" w:hAnsi="Arial" w:cs="Arial"/>
                <w:sz w:val="20"/>
                <w:szCs w:val="20"/>
              </w:rPr>
              <w:t xml:space="preserve"> who </w:t>
            </w:r>
            <w:r w:rsidR="00D62DF9">
              <w:rPr>
                <w:rFonts w:ascii="Arial" w:hAnsi="Arial" w:cs="Arial"/>
                <w:sz w:val="20"/>
                <w:szCs w:val="20"/>
              </w:rPr>
              <w:t xml:space="preserve">are registered with GPs from the boroughs of </w:t>
            </w:r>
            <w:r w:rsidR="00D62DF9" w:rsidRPr="00E478AC">
              <w:rPr>
                <w:rFonts w:ascii="Arial" w:hAnsi="Arial" w:cs="Arial"/>
                <w:sz w:val="20"/>
                <w:szCs w:val="20"/>
              </w:rPr>
              <w:t>Lambeth, Southwark, Lewisham</w:t>
            </w:r>
            <w:r w:rsidR="00D62DF9">
              <w:rPr>
                <w:rFonts w:ascii="Arial" w:hAnsi="Arial" w:cs="Arial"/>
                <w:sz w:val="20"/>
                <w:szCs w:val="20"/>
              </w:rPr>
              <w:t xml:space="preserve">, Greenwich, Bexley or Bromley 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>who are recovering from</w:t>
            </w:r>
            <w:r w:rsidR="00D62DF9">
              <w:rPr>
                <w:rFonts w:ascii="Arial" w:hAnsi="Arial" w:cs="Arial"/>
                <w:sz w:val="20"/>
                <w:szCs w:val="20"/>
              </w:rPr>
              <w:t xml:space="preserve"> the following organic neurological conditions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6196E" w:rsidRPr="006E1755" w:rsidRDefault="0086196E" w:rsidP="0086196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1766B" w:rsidRDefault="0001766B" w:rsidP="00C97B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Acquired brain injury of any cause.</w:t>
            </w:r>
          </w:p>
          <w:p w:rsidR="0086196E" w:rsidRPr="006E1755" w:rsidRDefault="0086196E" w:rsidP="0086196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1766B" w:rsidRDefault="0001766B" w:rsidP="00C97B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Incomplete 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 xml:space="preserve">cervical </w:t>
            </w:r>
            <w:r w:rsidRPr="006E1755">
              <w:rPr>
                <w:rFonts w:ascii="Arial" w:hAnsi="Arial" w:cs="Arial"/>
                <w:sz w:val="20"/>
                <w:szCs w:val="20"/>
              </w:rPr>
              <w:t>spinal cord lesions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>, and incomplete or complete thoracic or lumb</w:t>
            </w:r>
            <w:r w:rsidR="003879A5" w:rsidRPr="006E1755">
              <w:rPr>
                <w:rFonts w:ascii="Arial" w:hAnsi="Arial" w:cs="Arial"/>
                <w:sz w:val="20"/>
                <w:szCs w:val="20"/>
              </w:rPr>
              <w:t>a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>r spinal cord lesions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>(</w:t>
            </w:r>
            <w:r w:rsidRPr="006E1755">
              <w:rPr>
                <w:rFonts w:ascii="Arial" w:hAnsi="Arial" w:cs="Arial"/>
                <w:sz w:val="20"/>
                <w:szCs w:val="20"/>
              </w:rPr>
              <w:t>of any cause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if a referral to a 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>Regional Spinal Cord Injuries Centre (</w:t>
            </w:r>
            <w:r w:rsidRPr="006E1755">
              <w:rPr>
                <w:rFonts w:ascii="Arial" w:hAnsi="Arial" w:cs="Arial"/>
                <w:sz w:val="20"/>
                <w:szCs w:val="20"/>
              </w:rPr>
              <w:t>RSCIC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>)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has been made but access is delayed, or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they have been declined</w:t>
            </w:r>
            <w:r w:rsidR="002F66C4" w:rsidRPr="006E17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196E" w:rsidRPr="006E1755" w:rsidRDefault="0086196E" w:rsidP="00F64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Default="0001766B" w:rsidP="00C97B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Peripheral neuromuscular disease e.g. </w:t>
            </w:r>
            <w:proofErr w:type="spellStart"/>
            <w:r w:rsidRPr="006E1755">
              <w:rPr>
                <w:rFonts w:ascii="Arial" w:hAnsi="Arial" w:cs="Arial"/>
                <w:sz w:val="20"/>
                <w:szCs w:val="20"/>
              </w:rPr>
              <w:t>Guillain</w:t>
            </w:r>
            <w:proofErr w:type="spellEnd"/>
            <w:r w:rsidRPr="006E17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55">
              <w:rPr>
                <w:rFonts w:ascii="Arial" w:hAnsi="Arial" w:cs="Arial"/>
                <w:sz w:val="20"/>
                <w:szCs w:val="20"/>
              </w:rPr>
              <w:t>Barré</w:t>
            </w:r>
            <w:proofErr w:type="spellEnd"/>
            <w:r w:rsidRPr="006E1755">
              <w:rPr>
                <w:rFonts w:ascii="Arial" w:hAnsi="Arial" w:cs="Arial"/>
                <w:sz w:val="20"/>
                <w:szCs w:val="20"/>
              </w:rPr>
              <w:t xml:space="preserve"> syndrome, critical illness neuropathy, </w:t>
            </w:r>
            <w:proofErr w:type="spellStart"/>
            <w:r w:rsidRPr="006E1755">
              <w:rPr>
                <w:rFonts w:ascii="Arial" w:hAnsi="Arial" w:cs="Arial"/>
                <w:sz w:val="20"/>
                <w:szCs w:val="20"/>
              </w:rPr>
              <w:t>polymyositis</w:t>
            </w:r>
            <w:proofErr w:type="spellEnd"/>
            <w:r w:rsidRPr="006E17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196E" w:rsidRPr="006E1755" w:rsidRDefault="0086196E" w:rsidP="0086196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63E7D" w:rsidRDefault="008B2CDC" w:rsidP="00163E7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53F7B" w:rsidRPr="006E1755">
              <w:rPr>
                <w:rFonts w:ascii="Arial" w:hAnsi="Arial" w:cs="Arial"/>
                <w:sz w:val="20"/>
                <w:szCs w:val="20"/>
              </w:rPr>
              <w:t>olytrauma</w:t>
            </w:r>
            <w:proofErr w:type="spellEnd"/>
            <w:r w:rsidR="00153F7B" w:rsidRPr="006E1755">
              <w:rPr>
                <w:rFonts w:ascii="Arial" w:hAnsi="Arial" w:cs="Arial"/>
                <w:sz w:val="20"/>
                <w:szCs w:val="20"/>
              </w:rPr>
              <w:t xml:space="preserve"> where brain injury is the predominant presentation</w:t>
            </w:r>
          </w:p>
          <w:p w:rsidR="0086196E" w:rsidRDefault="0086196E" w:rsidP="00F64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572" w:rsidRDefault="00797572" w:rsidP="00163E7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Patients requiring complex spasticity management</w:t>
            </w:r>
          </w:p>
          <w:p w:rsidR="0086196E" w:rsidRDefault="0086196E" w:rsidP="0086196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97572" w:rsidRDefault="008B2CDC" w:rsidP="0046384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463845">
              <w:rPr>
                <w:rFonts w:ascii="Arial" w:hAnsi="Arial" w:cs="Arial"/>
                <w:sz w:val="20"/>
                <w:szCs w:val="20"/>
              </w:rPr>
              <w:t xml:space="preserve">atients with neurodegenerative disorders (e.g. multiple sclerosis, </w:t>
            </w:r>
            <w:proofErr w:type="spellStart"/>
            <w:r w:rsidR="00463845">
              <w:rPr>
                <w:rFonts w:ascii="Arial" w:hAnsi="Arial" w:cs="Arial"/>
                <w:sz w:val="20"/>
                <w:szCs w:val="20"/>
              </w:rPr>
              <w:t>parkinson’s</w:t>
            </w:r>
            <w:proofErr w:type="spellEnd"/>
            <w:r w:rsidR="00463845">
              <w:rPr>
                <w:rFonts w:ascii="Arial" w:hAnsi="Arial" w:cs="Arial"/>
                <w:sz w:val="20"/>
                <w:szCs w:val="20"/>
              </w:rPr>
              <w:t xml:space="preserve"> Disease </w:t>
            </w:r>
            <w:proofErr w:type="spellStart"/>
            <w:r w:rsidR="0046384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463845">
              <w:rPr>
                <w:rFonts w:ascii="Arial" w:hAnsi="Arial" w:cs="Arial"/>
                <w:sz w:val="20"/>
                <w:szCs w:val="20"/>
              </w:rPr>
              <w:t xml:space="preserve">) requiring specialist rehabilitation </w:t>
            </w:r>
          </w:p>
          <w:p w:rsidR="0086196E" w:rsidRDefault="0086196E" w:rsidP="0086196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B42C1" w:rsidRDefault="00D62DF9" w:rsidP="0086196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6196E">
              <w:rPr>
                <w:rFonts w:ascii="Arial" w:hAnsi="Arial" w:cs="Arial"/>
                <w:sz w:val="20"/>
                <w:szCs w:val="20"/>
              </w:rPr>
              <w:t xml:space="preserve">If not registered with a GP, residential address </w:t>
            </w:r>
            <w:proofErr w:type="gramStart"/>
            <w:r w:rsidRPr="0086196E">
              <w:rPr>
                <w:rFonts w:ascii="Arial" w:hAnsi="Arial" w:cs="Arial"/>
                <w:sz w:val="20"/>
                <w:szCs w:val="20"/>
              </w:rPr>
              <w:t>will be taken</w:t>
            </w:r>
            <w:proofErr w:type="gramEnd"/>
            <w:r w:rsidRPr="0086196E">
              <w:rPr>
                <w:rFonts w:ascii="Arial" w:hAnsi="Arial" w:cs="Arial"/>
                <w:sz w:val="20"/>
                <w:szCs w:val="20"/>
              </w:rPr>
              <w:t xml:space="preserve"> as the default borough Patients will be referred to Ontario or </w:t>
            </w:r>
            <w:proofErr w:type="spellStart"/>
            <w:r w:rsidRPr="0086196E">
              <w:rPr>
                <w:rFonts w:ascii="Arial" w:hAnsi="Arial" w:cs="Arial"/>
                <w:sz w:val="20"/>
                <w:szCs w:val="20"/>
              </w:rPr>
              <w:t>Pulross</w:t>
            </w:r>
            <w:proofErr w:type="spellEnd"/>
            <w:r w:rsidRPr="0086196E">
              <w:rPr>
                <w:rFonts w:ascii="Arial" w:hAnsi="Arial" w:cs="Arial"/>
                <w:sz w:val="20"/>
                <w:szCs w:val="20"/>
              </w:rPr>
              <w:t xml:space="preserve"> depending on clinical need. Where possible</w:t>
            </w:r>
            <w:r w:rsidR="008B2CDC" w:rsidRPr="0086196E">
              <w:rPr>
                <w:rFonts w:ascii="Arial" w:hAnsi="Arial" w:cs="Arial"/>
                <w:sz w:val="20"/>
                <w:szCs w:val="20"/>
              </w:rPr>
              <w:t>,</w:t>
            </w:r>
            <w:r w:rsidRPr="0086196E">
              <w:rPr>
                <w:rFonts w:ascii="Arial" w:hAnsi="Arial" w:cs="Arial"/>
                <w:sz w:val="20"/>
                <w:szCs w:val="20"/>
              </w:rPr>
              <w:t xml:space="preserve"> patient preference </w:t>
            </w:r>
            <w:proofErr w:type="gramStart"/>
            <w:r w:rsidRPr="0086196E">
              <w:rPr>
                <w:rFonts w:ascii="Arial" w:hAnsi="Arial" w:cs="Arial"/>
                <w:sz w:val="20"/>
                <w:szCs w:val="20"/>
              </w:rPr>
              <w:t>will be taken</w:t>
            </w:r>
            <w:proofErr w:type="gramEnd"/>
            <w:r w:rsidRPr="0086196E">
              <w:rPr>
                <w:rFonts w:ascii="Arial" w:hAnsi="Arial" w:cs="Arial"/>
                <w:sz w:val="20"/>
                <w:szCs w:val="20"/>
              </w:rPr>
              <w:t xml:space="preserve"> into consideration.</w:t>
            </w:r>
          </w:p>
          <w:p w:rsidR="0086196E" w:rsidRPr="0086196E" w:rsidRDefault="0086196E" w:rsidP="00184D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01766B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Primary service description</w:t>
            </w:r>
          </w:p>
        </w:tc>
        <w:tc>
          <w:tcPr>
            <w:tcW w:w="9360" w:type="dxa"/>
          </w:tcPr>
          <w:p w:rsidR="0001766B" w:rsidRDefault="0001766B" w:rsidP="00070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Post-acute </w:t>
            </w:r>
            <w:r w:rsidR="00F00B51">
              <w:rPr>
                <w:rFonts w:ascii="Arial" w:hAnsi="Arial" w:cs="Arial"/>
                <w:sz w:val="20"/>
                <w:szCs w:val="20"/>
              </w:rPr>
              <w:t>s</w:t>
            </w:r>
            <w:r w:rsidRPr="006E1755">
              <w:rPr>
                <w:rFonts w:ascii="Arial" w:hAnsi="Arial" w:cs="Arial"/>
                <w:sz w:val="20"/>
                <w:szCs w:val="20"/>
              </w:rPr>
              <w:t>pecialist</w:t>
            </w:r>
            <w:r w:rsidR="00F64CE7">
              <w:rPr>
                <w:rFonts w:ascii="Arial" w:hAnsi="Arial" w:cs="Arial"/>
                <w:sz w:val="20"/>
                <w:szCs w:val="20"/>
              </w:rPr>
              <w:t xml:space="preserve"> level 2B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in-patient neurological rehabilitation for patients reco</w:t>
            </w:r>
            <w:r w:rsidR="004F3F5D">
              <w:rPr>
                <w:rFonts w:ascii="Arial" w:hAnsi="Arial" w:cs="Arial"/>
                <w:sz w:val="20"/>
                <w:szCs w:val="20"/>
              </w:rPr>
              <w:t>vering from acquired disability</w:t>
            </w:r>
            <w:r w:rsidR="00F64CE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4CE7" w:rsidRPr="00F64CE7" w:rsidRDefault="00F64CE7" w:rsidP="00F64CE7">
            <w:pPr>
              <w:jc w:val="both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F64CE7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This 2B service </w:t>
            </w:r>
            <w:proofErr w:type="gramStart"/>
            <w:r w:rsidRPr="00F64CE7">
              <w:rPr>
                <w:rFonts w:ascii="Arial" w:hAnsi="Arial" w:cs="Arial"/>
                <w:b/>
                <w:color w:val="00B0F0"/>
                <w:sz w:val="20"/>
                <w:szCs w:val="20"/>
              </w:rPr>
              <w:t>is split</w:t>
            </w:r>
            <w:proofErr w:type="gramEnd"/>
            <w:r w:rsidRPr="00F64CE7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 across two sites with 14 beds sited at Ontario ward in Orpington hospital and 6 beds at </w:t>
            </w:r>
            <w:proofErr w:type="spellStart"/>
            <w:r w:rsidRPr="00F64CE7">
              <w:rPr>
                <w:rFonts w:ascii="Arial" w:hAnsi="Arial" w:cs="Arial"/>
                <w:b/>
                <w:color w:val="00B0F0"/>
                <w:sz w:val="20"/>
                <w:szCs w:val="20"/>
              </w:rPr>
              <w:t>Pulross</w:t>
            </w:r>
            <w:proofErr w:type="spellEnd"/>
            <w:r w:rsidRPr="00F64CE7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 Centre in Brixton. </w:t>
            </w:r>
          </w:p>
          <w:p w:rsidR="00F64CE7" w:rsidRPr="00F64CE7" w:rsidRDefault="00F64CE7" w:rsidP="00F64C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CE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84D8F" w:rsidRDefault="007B42C1" w:rsidP="007B4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patients will </w:t>
            </w:r>
            <w:r w:rsidRPr="006E1755">
              <w:rPr>
                <w:rFonts w:ascii="Arial" w:hAnsi="Arial" w:cs="Arial"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2C1">
              <w:rPr>
                <w:rFonts w:ascii="Arial" w:hAnsi="Arial" w:cs="Arial"/>
                <w:sz w:val="20"/>
                <w:szCs w:val="20"/>
              </w:rPr>
              <w:t xml:space="preserve">multidisciplinary 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inpatient </w:t>
            </w:r>
            <w:proofErr w:type="spellStart"/>
            <w:r w:rsidRPr="006E1755">
              <w:rPr>
                <w:rFonts w:ascii="Arial" w:hAnsi="Arial" w:cs="Arial"/>
                <w:sz w:val="20"/>
                <w:szCs w:val="20"/>
              </w:rPr>
              <w:t>neurorehabilitation</w:t>
            </w:r>
            <w:proofErr w:type="spellEnd"/>
            <w:r w:rsidRPr="006E1755">
              <w:rPr>
                <w:rFonts w:ascii="Arial" w:hAnsi="Arial" w:cs="Arial"/>
                <w:sz w:val="20"/>
                <w:szCs w:val="20"/>
              </w:rPr>
              <w:t xml:space="preserve"> by a </w:t>
            </w:r>
            <w:r>
              <w:rPr>
                <w:rFonts w:ascii="Arial" w:hAnsi="Arial" w:cs="Arial"/>
                <w:sz w:val="20"/>
                <w:szCs w:val="20"/>
              </w:rPr>
              <w:t>team trained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D62DF9">
              <w:rPr>
                <w:rFonts w:ascii="Arial" w:hAnsi="Arial" w:cs="Arial"/>
                <w:sz w:val="20"/>
                <w:szCs w:val="20"/>
              </w:rPr>
              <w:t>specialist r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ehabilitation led by </w:t>
            </w:r>
            <w:r w:rsidR="00D62DF9">
              <w:rPr>
                <w:rFonts w:ascii="Arial" w:hAnsi="Arial" w:cs="Arial"/>
                <w:sz w:val="20"/>
                <w:szCs w:val="20"/>
              </w:rPr>
              <w:t xml:space="preserve">or supported by </w:t>
            </w:r>
            <w:r w:rsidRPr="006E1755">
              <w:rPr>
                <w:rFonts w:ascii="Arial" w:hAnsi="Arial" w:cs="Arial"/>
                <w:sz w:val="20"/>
                <w:szCs w:val="20"/>
              </w:rPr>
              <w:t>a consultant trained and accredited in rehabilitation medicine.</w:t>
            </w:r>
          </w:p>
          <w:p w:rsidR="00184D8F" w:rsidRDefault="00184D8F" w:rsidP="007B4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2C1" w:rsidRDefault="007B42C1" w:rsidP="007B4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These patients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require 2 or more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intensive therapy disciplines and usually require specialist equipment to support recovery</w:t>
            </w:r>
            <w:r>
              <w:rPr>
                <w:rFonts w:ascii="Arial" w:hAnsi="Arial" w:cs="Arial"/>
                <w:sz w:val="20"/>
                <w:szCs w:val="20"/>
              </w:rPr>
              <w:t xml:space="preserve">. This 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may include assistive technology, specialist seating and bespoke orthotics. </w:t>
            </w:r>
          </w:p>
          <w:p w:rsidR="0086196E" w:rsidRPr="006E1755" w:rsidRDefault="0086196E" w:rsidP="007B4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070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</w:t>
            </w:r>
            <w:r w:rsidR="00D573D5" w:rsidRPr="00D573D5">
              <w:rPr>
                <w:rFonts w:ascii="Arial" w:hAnsi="Arial" w:cs="Arial"/>
                <w:sz w:val="20"/>
                <w:szCs w:val="20"/>
              </w:rPr>
              <w:t>e</w:t>
            </w:r>
            <w:r w:rsidR="00D573D5">
              <w:rPr>
                <w:rFonts w:ascii="Arial" w:hAnsi="Arial" w:cs="Arial"/>
                <w:sz w:val="20"/>
                <w:szCs w:val="20"/>
              </w:rPr>
              <w:t>am comprises</w:t>
            </w:r>
            <w:r w:rsidR="00D573D5" w:rsidRPr="00D573D5">
              <w:rPr>
                <w:rFonts w:ascii="Arial" w:hAnsi="Arial" w:cs="Arial"/>
                <w:sz w:val="20"/>
                <w:szCs w:val="20"/>
              </w:rPr>
              <w:t xml:space="preserve"> Consultants in Rehabilitation Medicine, Consultant therapist in neuro-rehabilitation, nursing, physiotherapy, occupational therapy, speech and language therapy, psychology, specialist social worker and administrative staff</w:t>
            </w:r>
            <w:r w:rsidR="00D573D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84D8F" w:rsidRDefault="00184D8F" w:rsidP="00070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2C1" w:rsidRDefault="00D573D5" w:rsidP="00070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 spasticity services including the regional bac</w:t>
            </w:r>
            <w:r w:rsidR="00581AB3">
              <w:rPr>
                <w:rFonts w:ascii="Arial" w:hAnsi="Arial" w:cs="Arial"/>
                <w:sz w:val="20"/>
                <w:szCs w:val="20"/>
              </w:rPr>
              <w:t xml:space="preserve">lofen clinic, orthotic service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and rehabilitation assessment clinics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 also offered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3F5D" w:rsidRDefault="004F3F5D" w:rsidP="00070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6701" w:rsidRPr="00B95470" w:rsidRDefault="00EC6701" w:rsidP="00F00B51">
            <w:pPr>
              <w:ind w:left="7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Default="0086196E" w:rsidP="00C82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 C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riteria </w:t>
            </w:r>
          </w:p>
          <w:p w:rsidR="008B2CDC" w:rsidRDefault="008B2CDC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DC" w:rsidRPr="006E1755" w:rsidRDefault="008B2CDC" w:rsidP="00C82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6196E">
              <w:rPr>
                <w:rFonts w:ascii="Arial" w:hAnsi="Arial" w:cs="Arial"/>
                <w:sz w:val="20"/>
                <w:szCs w:val="20"/>
              </w:rPr>
              <w:t>ehab Criteria</w:t>
            </w:r>
          </w:p>
        </w:tc>
        <w:tc>
          <w:tcPr>
            <w:tcW w:w="9360" w:type="dxa"/>
          </w:tcPr>
          <w:p w:rsidR="0086196E" w:rsidRDefault="0086196E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6196E" w:rsidRDefault="0086196E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B2CDC" w:rsidRP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Evidence of</w:t>
            </w:r>
            <w:r w:rsidR="008619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CDC">
              <w:rPr>
                <w:rFonts w:ascii="Arial" w:hAnsi="Arial" w:cs="Arial"/>
                <w:sz w:val="20"/>
                <w:szCs w:val="20"/>
              </w:rPr>
              <w:t>progress towards attainment of identified goals, with a reas</w:t>
            </w:r>
            <w:r w:rsidR="0086196E">
              <w:rPr>
                <w:rFonts w:ascii="Arial" w:hAnsi="Arial" w:cs="Arial"/>
                <w:sz w:val="20"/>
                <w:szCs w:val="20"/>
              </w:rPr>
              <w:t xml:space="preserve">onable expectation of increased </w:t>
            </w:r>
            <w:r w:rsidRPr="008B2CDC">
              <w:rPr>
                <w:rFonts w:ascii="Arial" w:hAnsi="Arial" w:cs="Arial"/>
                <w:sz w:val="20"/>
                <w:szCs w:val="20"/>
              </w:rPr>
              <w:t xml:space="preserve">personal independence and participation in roles </w:t>
            </w:r>
          </w:p>
          <w:p w:rsidR="008B2CDC" w:rsidRP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B2CDC" w:rsidRP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Ability to follow direction/ instruction</w:t>
            </w:r>
          </w:p>
          <w:p w:rsidR="008B2CDC" w:rsidRPr="00184D8F" w:rsidRDefault="008B2CDC" w:rsidP="00184D8F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DC" w:rsidRP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Ability to learn, and retain learning, with evidence of transfer of knowledge</w:t>
            </w:r>
          </w:p>
          <w:p w:rsidR="008B2CDC" w:rsidRP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B2CDC" w:rsidRP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Patient motivation and participation</w:t>
            </w:r>
          </w:p>
          <w:p w:rsidR="008B2CDC" w:rsidRPr="00184D8F" w:rsidRDefault="008B2CDC" w:rsidP="00184D8F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DC" w:rsidRP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A capacity assessment and if indicated a best interest meeting regarding transfer to inpatient rehabilitation has been completed.</w:t>
            </w:r>
          </w:p>
          <w:p w:rsidR="008B2CDC" w:rsidRPr="008B2CDC" w:rsidRDefault="008B2CDC" w:rsidP="0069281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2CDC" w:rsidRP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Ability to tolerate high intensity rehabilitation e.g. at least 45 minutes of each relevant therapy session daily</w:t>
            </w:r>
          </w:p>
          <w:p w:rsidR="008B2CDC" w:rsidRPr="00184D8F" w:rsidRDefault="008B2CDC" w:rsidP="00184D8F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Sitting tolerance of at least 1 hour</w:t>
            </w:r>
          </w:p>
          <w:p w:rsidR="0069281C" w:rsidRPr="008B2CDC" w:rsidRDefault="0069281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(Patients with pressure sores greater than Grade 2 will not be admitted, depending on the functional impact of the position of the sore)</w:t>
            </w:r>
          </w:p>
          <w:p w:rsidR="008B2CDC" w:rsidRPr="00184D8F" w:rsidRDefault="008B2CDC" w:rsidP="00184D8F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Stable medical condition, to allow continued participation in the rehabilitation program.</w:t>
            </w:r>
          </w:p>
          <w:p w:rsidR="008B2CDC" w:rsidRPr="00184D8F" w:rsidRDefault="008B2CDC" w:rsidP="00184D8F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CDC" w:rsidRDefault="008B2CD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Requires intense input from 2-</w:t>
            </w:r>
            <w:proofErr w:type="gramStart"/>
            <w:r w:rsidRPr="008B2CDC">
              <w:rPr>
                <w:rFonts w:ascii="Arial" w:hAnsi="Arial" w:cs="Arial"/>
                <w:sz w:val="20"/>
                <w:szCs w:val="20"/>
              </w:rPr>
              <w:t>4  therapy</w:t>
            </w:r>
            <w:proofErr w:type="gramEnd"/>
            <w:r w:rsidRPr="008B2CDC">
              <w:rPr>
                <w:rFonts w:ascii="Arial" w:hAnsi="Arial" w:cs="Arial"/>
                <w:sz w:val="20"/>
                <w:szCs w:val="20"/>
              </w:rPr>
              <w:t xml:space="preserve"> disciplines, in an inpatient setting.</w:t>
            </w:r>
          </w:p>
          <w:p w:rsidR="0069281C" w:rsidRPr="008B2CDC" w:rsidRDefault="0069281C" w:rsidP="008B2C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9281C" w:rsidRDefault="0069281C" w:rsidP="0069281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B2CDC">
              <w:rPr>
                <w:rFonts w:ascii="Arial" w:hAnsi="Arial" w:cs="Arial"/>
                <w:sz w:val="20"/>
                <w:szCs w:val="20"/>
              </w:rPr>
              <w:t>It is anticipated that a period of inpatient rehabilitation will reduce the current level of dependency</w:t>
            </w:r>
          </w:p>
          <w:p w:rsidR="008B2CDC" w:rsidRPr="00E478AC" w:rsidRDefault="009D3E93" w:rsidP="00D573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3525C2">
              <w:rPr>
                <w:rFonts w:ascii="Arial" w:hAnsi="Arial" w:cs="Arial"/>
                <w:sz w:val="20"/>
                <w:szCs w:val="20"/>
              </w:rPr>
              <w:t>The referral team have identified if a patient has recourse to public funds</w:t>
            </w:r>
          </w:p>
        </w:tc>
      </w:tr>
      <w:tr w:rsidR="0001766B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01766B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Exclusion criteria</w:t>
            </w:r>
          </w:p>
        </w:tc>
        <w:tc>
          <w:tcPr>
            <w:tcW w:w="9360" w:type="dxa"/>
          </w:tcPr>
          <w:p w:rsidR="00184D8F" w:rsidRDefault="00184D8F" w:rsidP="00C82E48">
            <w:pPr>
              <w:pStyle w:val="BodyTex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1766B" w:rsidRDefault="0001766B" w:rsidP="00C82E48">
            <w:pPr>
              <w:pStyle w:val="Body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1755">
              <w:rPr>
                <w:rFonts w:ascii="Arial" w:hAnsi="Arial" w:cs="Arial"/>
                <w:b w:val="0"/>
                <w:sz w:val="20"/>
                <w:szCs w:val="20"/>
              </w:rPr>
              <w:t xml:space="preserve">The unit does not accept </w:t>
            </w:r>
          </w:p>
          <w:p w:rsidR="0086196E" w:rsidRPr="006E1755" w:rsidRDefault="0086196E" w:rsidP="00C82E48">
            <w:pPr>
              <w:pStyle w:val="BodyTex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56885" w:rsidRDefault="00856885" w:rsidP="00CE10F8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6E1755">
              <w:rPr>
                <w:rFonts w:ascii="Arial" w:hAnsi="Arial" w:cs="Arial"/>
                <w:b w:val="0"/>
                <w:sz w:val="20"/>
                <w:szCs w:val="20"/>
              </w:rPr>
              <w:t>Patients who are ineligible to receive NHS-funded rehabilitation care</w:t>
            </w:r>
          </w:p>
          <w:p w:rsidR="00A53A10" w:rsidRPr="00184D8F" w:rsidRDefault="00A53A10" w:rsidP="00CE10F8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84D8F">
              <w:rPr>
                <w:rFonts w:ascii="Arial" w:hAnsi="Arial" w:cs="Arial"/>
                <w:b w:val="0"/>
                <w:sz w:val="20"/>
                <w:szCs w:val="20"/>
              </w:rPr>
              <w:t xml:space="preserve">Patients </w:t>
            </w:r>
            <w:r w:rsidR="00A26F09" w:rsidRPr="00184D8F">
              <w:rPr>
                <w:rFonts w:ascii="Arial" w:hAnsi="Arial" w:cs="Arial"/>
                <w:b w:val="0"/>
                <w:sz w:val="20"/>
                <w:szCs w:val="20"/>
              </w:rPr>
              <w:t xml:space="preserve">whose GPs are </w:t>
            </w:r>
            <w:r w:rsidRPr="00184D8F">
              <w:rPr>
                <w:rFonts w:ascii="Arial" w:hAnsi="Arial" w:cs="Arial"/>
                <w:b w:val="0"/>
                <w:sz w:val="20"/>
                <w:szCs w:val="20"/>
              </w:rPr>
              <w:t>outside the CCGs</w:t>
            </w:r>
            <w:r w:rsidR="00A26F09" w:rsidRPr="00184D8F">
              <w:rPr>
                <w:rFonts w:ascii="Arial" w:hAnsi="Arial" w:cs="Arial"/>
                <w:b w:val="0"/>
                <w:sz w:val="20"/>
                <w:szCs w:val="20"/>
              </w:rPr>
              <w:t xml:space="preserve"> areas </w:t>
            </w:r>
            <w:r w:rsidRPr="00184D8F">
              <w:rPr>
                <w:rFonts w:ascii="Arial" w:hAnsi="Arial" w:cs="Arial"/>
                <w:b w:val="0"/>
                <w:sz w:val="20"/>
                <w:szCs w:val="20"/>
              </w:rPr>
              <w:t>named above</w:t>
            </w:r>
          </w:p>
          <w:p w:rsidR="00A53A10" w:rsidRPr="00184D8F" w:rsidRDefault="00A53A10" w:rsidP="00CE10F8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84D8F">
              <w:rPr>
                <w:rFonts w:ascii="Arial" w:hAnsi="Arial" w:cs="Arial"/>
                <w:b w:val="0"/>
                <w:sz w:val="20"/>
                <w:szCs w:val="20"/>
              </w:rPr>
              <w:t>Patients who do not meet the Rehab criteria</w:t>
            </w:r>
            <w:r w:rsidR="00D573D5" w:rsidRPr="00184D8F">
              <w:rPr>
                <w:rFonts w:ascii="Arial" w:hAnsi="Arial" w:cs="Arial"/>
                <w:b w:val="0"/>
                <w:sz w:val="20"/>
                <w:szCs w:val="20"/>
              </w:rPr>
              <w:t xml:space="preserve"> (above)</w:t>
            </w:r>
          </w:p>
          <w:p w:rsidR="00A26F09" w:rsidRPr="003525C2" w:rsidRDefault="00A26F09" w:rsidP="00A26F09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3525C2">
              <w:rPr>
                <w:rFonts w:ascii="Arial" w:hAnsi="Arial" w:cs="Arial"/>
                <w:b w:val="0"/>
                <w:sz w:val="20"/>
                <w:szCs w:val="20"/>
              </w:rPr>
              <w:t>Patients whos</w:t>
            </w:r>
            <w:r w:rsidR="009D3E93" w:rsidRPr="003525C2">
              <w:rPr>
                <w:rFonts w:ascii="Arial" w:hAnsi="Arial" w:cs="Arial"/>
                <w:b w:val="0"/>
                <w:sz w:val="20"/>
                <w:szCs w:val="20"/>
              </w:rPr>
              <w:t xml:space="preserve">e current rehab goals/needs will </w:t>
            </w:r>
            <w:r w:rsidRPr="003525C2">
              <w:rPr>
                <w:rFonts w:ascii="Arial" w:hAnsi="Arial" w:cs="Arial"/>
                <w:b w:val="0"/>
                <w:sz w:val="20"/>
                <w:szCs w:val="20"/>
              </w:rPr>
              <w:t xml:space="preserve">be </w:t>
            </w:r>
            <w:r w:rsidR="009D3E93" w:rsidRPr="003525C2">
              <w:rPr>
                <w:rFonts w:ascii="Arial" w:hAnsi="Arial" w:cs="Arial"/>
                <w:b w:val="0"/>
                <w:sz w:val="20"/>
                <w:szCs w:val="20"/>
              </w:rPr>
              <w:t xml:space="preserve">best </w:t>
            </w:r>
            <w:r w:rsidRPr="003525C2">
              <w:rPr>
                <w:rFonts w:ascii="Arial" w:hAnsi="Arial" w:cs="Arial"/>
                <w:b w:val="0"/>
                <w:sz w:val="20"/>
                <w:szCs w:val="20"/>
              </w:rPr>
              <w:t xml:space="preserve">met in alternate/community setting </w:t>
            </w:r>
          </w:p>
          <w:p w:rsidR="0001766B" w:rsidRPr="006E1755" w:rsidRDefault="0001766B" w:rsidP="00CE10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Persistent Vegetative States and Minimally Responsive States (</w:t>
            </w:r>
            <w:r w:rsidR="00690A33" w:rsidRPr="006E1755">
              <w:rPr>
                <w:rFonts w:ascii="Arial" w:hAnsi="Arial" w:cs="Arial"/>
                <w:sz w:val="20"/>
                <w:szCs w:val="20"/>
              </w:rPr>
              <w:t>RHND Putney)</w:t>
            </w:r>
          </w:p>
          <w:p w:rsidR="0001766B" w:rsidRPr="00F00B51" w:rsidRDefault="0001766B" w:rsidP="00A53A1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00B51">
              <w:rPr>
                <w:rFonts w:ascii="Arial" w:hAnsi="Arial" w:cs="Arial"/>
                <w:sz w:val="20"/>
                <w:szCs w:val="20"/>
              </w:rPr>
              <w:t>Severe behavioural problems which could not be managed in this environment Patients treated under th</w:t>
            </w:r>
            <w:r w:rsidR="00690A33" w:rsidRPr="00F00B51">
              <w:rPr>
                <w:rFonts w:ascii="Arial" w:hAnsi="Arial" w:cs="Arial"/>
                <w:sz w:val="20"/>
                <w:szCs w:val="20"/>
              </w:rPr>
              <w:t>e Mental Health Act (BBIRU)</w:t>
            </w:r>
          </w:p>
          <w:p w:rsidR="0001766B" w:rsidRPr="006E1755" w:rsidRDefault="00690A33" w:rsidP="00CE10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Patients requiring </w:t>
            </w:r>
            <w:r w:rsidR="00B95470">
              <w:rPr>
                <w:rFonts w:ascii="Arial" w:hAnsi="Arial" w:cs="Arial"/>
                <w:sz w:val="20"/>
                <w:szCs w:val="20"/>
              </w:rPr>
              <w:t>suctioning or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tracheostomy care </w:t>
            </w:r>
          </w:p>
          <w:p w:rsidR="0001766B" w:rsidRPr="006E1755" w:rsidRDefault="0001766B" w:rsidP="00CE10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Patients who </w:t>
            </w:r>
            <w:r w:rsidR="00690A33" w:rsidRPr="006E1755">
              <w:rPr>
                <w:rFonts w:ascii="Arial" w:hAnsi="Arial" w:cs="Arial"/>
                <w:sz w:val="20"/>
                <w:szCs w:val="20"/>
              </w:rPr>
              <w:t xml:space="preserve">do not 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90A33" w:rsidRPr="006E1755">
              <w:rPr>
                <w:rFonts w:ascii="Arial" w:hAnsi="Arial" w:cs="Arial"/>
                <w:sz w:val="20"/>
                <w:szCs w:val="20"/>
              </w:rPr>
              <w:t>con</w:t>
            </w:r>
            <w:r w:rsidR="00E478AC">
              <w:rPr>
                <w:rFonts w:ascii="Arial" w:hAnsi="Arial" w:cs="Arial"/>
                <w:sz w:val="20"/>
                <w:szCs w:val="20"/>
              </w:rPr>
              <w:t>sent to a referral being to SELNS</w:t>
            </w:r>
            <w:r w:rsidR="000A7B41" w:rsidRPr="006E1755">
              <w:rPr>
                <w:rFonts w:ascii="Arial" w:hAnsi="Arial" w:cs="Arial"/>
                <w:sz w:val="20"/>
                <w:szCs w:val="20"/>
              </w:rPr>
              <w:t xml:space="preserve"> and have mental </w:t>
            </w:r>
            <w:r w:rsidR="00885246" w:rsidRPr="006E1755">
              <w:rPr>
                <w:rFonts w:ascii="Arial" w:hAnsi="Arial" w:cs="Arial"/>
                <w:sz w:val="20"/>
                <w:szCs w:val="20"/>
              </w:rPr>
              <w:t>capacity to</w:t>
            </w:r>
            <w:r w:rsidR="000A7B41" w:rsidRPr="006E1755">
              <w:rPr>
                <w:rFonts w:ascii="Arial" w:hAnsi="Arial" w:cs="Arial"/>
                <w:sz w:val="20"/>
                <w:szCs w:val="20"/>
              </w:rPr>
              <w:t xml:space="preserve"> make this decision</w:t>
            </w:r>
            <w:r w:rsidR="00E478AC">
              <w:rPr>
                <w:rFonts w:ascii="Arial" w:hAnsi="Arial" w:cs="Arial"/>
                <w:sz w:val="20"/>
                <w:szCs w:val="20"/>
              </w:rPr>
              <w:t xml:space="preserve">. Those lacking mental capacity to make this decision </w:t>
            </w:r>
            <w:proofErr w:type="gramStart"/>
            <w:r w:rsidR="00E478AC">
              <w:rPr>
                <w:rFonts w:ascii="Arial" w:hAnsi="Arial" w:cs="Arial"/>
                <w:sz w:val="20"/>
                <w:szCs w:val="20"/>
              </w:rPr>
              <w:t>will be treated</w:t>
            </w:r>
            <w:proofErr w:type="gramEnd"/>
            <w:r w:rsidR="00E478AC">
              <w:rPr>
                <w:rFonts w:ascii="Arial" w:hAnsi="Arial" w:cs="Arial"/>
                <w:sz w:val="20"/>
                <w:szCs w:val="20"/>
              </w:rPr>
              <w:t xml:space="preserve"> under DOLS.</w:t>
            </w:r>
          </w:p>
          <w:p w:rsidR="00CE10F8" w:rsidRDefault="00CE10F8" w:rsidP="00CE10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Patients with pressure sores greater than Grade 2</w:t>
            </w:r>
            <w:r w:rsidR="00463845">
              <w:rPr>
                <w:rFonts w:ascii="Arial" w:hAnsi="Arial" w:cs="Arial"/>
                <w:sz w:val="20"/>
                <w:szCs w:val="20"/>
              </w:rPr>
              <w:t xml:space="preserve"> depending on </w:t>
            </w:r>
            <w:r w:rsidR="0086196E">
              <w:rPr>
                <w:rFonts w:ascii="Arial" w:hAnsi="Arial" w:cs="Arial"/>
                <w:sz w:val="20"/>
                <w:szCs w:val="20"/>
              </w:rPr>
              <w:t>the impact on function.</w:t>
            </w:r>
            <w:r w:rsidR="004638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196E" w:rsidRDefault="00A53A10" w:rsidP="0086196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Patients unable to weight bear due healing fractures</w:t>
            </w:r>
            <w:r w:rsidR="00F00B51">
              <w:rPr>
                <w:rFonts w:ascii="Arial" w:hAnsi="Arial" w:cs="Arial"/>
                <w:sz w:val="20"/>
                <w:szCs w:val="20"/>
              </w:rPr>
              <w:t xml:space="preserve"> depending on the functional impact on their r</w:t>
            </w:r>
            <w:r w:rsidR="0086196E">
              <w:rPr>
                <w:rFonts w:ascii="Arial" w:hAnsi="Arial" w:cs="Arial"/>
                <w:sz w:val="20"/>
                <w:szCs w:val="20"/>
              </w:rPr>
              <w:t>ehabilitation.</w:t>
            </w:r>
          </w:p>
          <w:p w:rsidR="00A26F09" w:rsidRPr="0086196E" w:rsidRDefault="00A26F09" w:rsidP="0086196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6196E">
              <w:rPr>
                <w:rFonts w:ascii="Arial" w:hAnsi="Arial" w:cs="Arial"/>
                <w:sz w:val="20"/>
                <w:szCs w:val="20"/>
              </w:rPr>
              <w:t xml:space="preserve">Patients with NG tubes </w:t>
            </w:r>
            <w:proofErr w:type="gramStart"/>
            <w:r w:rsidRPr="0086196E">
              <w:rPr>
                <w:rFonts w:ascii="Arial" w:hAnsi="Arial" w:cs="Arial"/>
                <w:sz w:val="20"/>
                <w:szCs w:val="20"/>
              </w:rPr>
              <w:t>are not accepted</w:t>
            </w:r>
            <w:proofErr w:type="gramEnd"/>
            <w:r w:rsidRPr="0086196E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86196E">
              <w:rPr>
                <w:rFonts w:ascii="Arial" w:hAnsi="Arial" w:cs="Arial"/>
                <w:sz w:val="20"/>
                <w:szCs w:val="20"/>
              </w:rPr>
              <w:t>Pulross</w:t>
            </w:r>
            <w:proofErr w:type="spellEnd"/>
            <w:r w:rsidRPr="0086196E">
              <w:rPr>
                <w:rFonts w:ascii="Arial" w:hAnsi="Arial" w:cs="Arial"/>
                <w:sz w:val="20"/>
                <w:szCs w:val="20"/>
              </w:rPr>
              <w:t xml:space="preserve"> Centre.</w:t>
            </w:r>
          </w:p>
          <w:p w:rsidR="00A26F09" w:rsidRDefault="00A26F09" w:rsidP="00CE10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Patients with NG tubes will only be accepted to Ontario with a documented plan for removal or conversion to PEG/RIG feeding</w:t>
            </w:r>
          </w:p>
          <w:p w:rsidR="00A26F09" w:rsidRDefault="00A26F09" w:rsidP="00CE10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PICC lines are not routinely accepted but each case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 be discussed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 its own merits with the accepting unit.</w:t>
            </w:r>
          </w:p>
          <w:p w:rsidR="00A26F09" w:rsidRPr="00A26F09" w:rsidRDefault="00797572" w:rsidP="00A53A10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6196E">
              <w:rPr>
                <w:rFonts w:ascii="Arial" w:hAnsi="Arial" w:cs="Arial"/>
                <w:sz w:val="20"/>
                <w:szCs w:val="20"/>
              </w:rPr>
              <w:lastRenderedPageBreak/>
              <w:t>Those requiring 1:1 nursing</w:t>
            </w:r>
            <w:r w:rsidR="00A53A10" w:rsidRPr="0086196E">
              <w:rPr>
                <w:rFonts w:ascii="Arial" w:hAnsi="Arial" w:cs="Arial"/>
                <w:sz w:val="20"/>
                <w:szCs w:val="20"/>
              </w:rPr>
              <w:t xml:space="preserve"> for their own safety</w:t>
            </w:r>
            <w:r w:rsidR="00A26F09" w:rsidRPr="0086196E">
              <w:rPr>
                <w:rFonts w:ascii="Arial" w:hAnsi="Arial" w:cs="Arial"/>
                <w:sz w:val="20"/>
                <w:szCs w:val="20"/>
              </w:rPr>
              <w:t xml:space="preserve"> e.g.</w:t>
            </w:r>
            <w:r w:rsidR="00A53A10" w:rsidRPr="008619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53A10" w:rsidRPr="0086196E">
              <w:rPr>
                <w:rFonts w:ascii="Arial" w:hAnsi="Arial" w:cs="Arial"/>
                <w:sz w:val="20"/>
                <w:szCs w:val="20"/>
              </w:rPr>
              <w:t>as a result</w:t>
            </w:r>
            <w:proofErr w:type="gramEnd"/>
            <w:r w:rsidR="00A53A10" w:rsidRPr="0086196E">
              <w:rPr>
                <w:rFonts w:ascii="Arial" w:hAnsi="Arial" w:cs="Arial"/>
                <w:sz w:val="20"/>
                <w:szCs w:val="20"/>
              </w:rPr>
              <w:t xml:space="preserve"> of severe cognitive difficulties </w:t>
            </w:r>
            <w:r w:rsidR="00A26F09">
              <w:rPr>
                <w:rFonts w:ascii="Arial" w:hAnsi="Arial" w:cs="Arial"/>
                <w:sz w:val="20"/>
                <w:szCs w:val="20"/>
              </w:rPr>
              <w:t>Patients with Functional Neurological Disorders or where the functional component of their presentation predominates.</w:t>
            </w:r>
          </w:p>
          <w:p w:rsidR="00EC6701" w:rsidRPr="006E1755" w:rsidRDefault="00EC6701" w:rsidP="00EC670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01766B" w:rsidRPr="006E1755" w:rsidRDefault="0001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EC6701" w:rsidRPr="006E1755" w:rsidRDefault="00EC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F64CE7" w:rsidRDefault="00F64CE7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01766B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Capacity</w:t>
            </w:r>
          </w:p>
        </w:tc>
        <w:tc>
          <w:tcPr>
            <w:tcW w:w="9360" w:type="dxa"/>
          </w:tcPr>
          <w:p w:rsidR="00F64CE7" w:rsidRDefault="00F64CE7" w:rsidP="00C90B3F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Default="0001766B" w:rsidP="00C90B3F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Total</w:t>
            </w:r>
            <w:r w:rsidR="00381D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470">
              <w:rPr>
                <w:rFonts w:ascii="Arial" w:hAnsi="Arial" w:cs="Arial"/>
                <w:sz w:val="20"/>
                <w:szCs w:val="20"/>
              </w:rPr>
              <w:t>20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beds </w:t>
            </w:r>
          </w:p>
          <w:p w:rsidR="00F64CE7" w:rsidRPr="00F64CE7" w:rsidRDefault="00F64CE7" w:rsidP="00C90B3F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EC6701" w:rsidRPr="00F64CE7" w:rsidRDefault="00F64CE7" w:rsidP="00C90B3F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F64CE7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14 beds sited at Ontario ward in Orpington hospital and 6 beds at </w:t>
            </w:r>
            <w:proofErr w:type="spellStart"/>
            <w:r w:rsidRPr="00F64CE7">
              <w:rPr>
                <w:rFonts w:ascii="Arial" w:hAnsi="Arial" w:cs="Arial"/>
                <w:b/>
                <w:color w:val="00B0F0"/>
                <w:sz w:val="20"/>
                <w:szCs w:val="20"/>
              </w:rPr>
              <w:t>Pulross</w:t>
            </w:r>
            <w:proofErr w:type="spellEnd"/>
            <w:r w:rsidRPr="00F64CE7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 Centre in Brixton.</w:t>
            </w:r>
          </w:p>
          <w:p w:rsidR="00F64CE7" w:rsidRPr="006E1755" w:rsidRDefault="00F64CE7" w:rsidP="00C90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Default="0001766B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Mean in-p</w:t>
            </w:r>
            <w:r w:rsidR="00184D8F">
              <w:rPr>
                <w:rFonts w:ascii="Arial" w:hAnsi="Arial" w:cs="Arial"/>
                <w:sz w:val="20"/>
                <w:szCs w:val="20"/>
              </w:rPr>
              <w:t>atien</w:t>
            </w:r>
            <w:r w:rsidRPr="006E1755">
              <w:rPr>
                <w:rFonts w:ascii="Arial" w:hAnsi="Arial" w:cs="Arial"/>
                <w:sz w:val="20"/>
                <w:szCs w:val="20"/>
              </w:rPr>
              <w:t>t LOS</w:t>
            </w:r>
          </w:p>
          <w:p w:rsidR="00184D8F" w:rsidRPr="006E1755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184D8F" w:rsidRDefault="00184D8F" w:rsidP="007975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Default="005B2EE1" w:rsidP="00797572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T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 xml:space="preserve">ypically </w:t>
            </w:r>
            <w:r w:rsidR="00797572">
              <w:rPr>
                <w:rFonts w:ascii="Arial" w:hAnsi="Arial" w:cs="Arial"/>
                <w:sz w:val="20"/>
                <w:szCs w:val="20"/>
              </w:rPr>
              <w:t>&gt;6 weeks</w:t>
            </w:r>
          </w:p>
          <w:p w:rsidR="00EC6701" w:rsidRPr="006E1755" w:rsidRDefault="00EC6701" w:rsidP="00797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01766B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Features of the service in relation to service specification standards</w:t>
            </w:r>
          </w:p>
        </w:tc>
        <w:tc>
          <w:tcPr>
            <w:tcW w:w="9360" w:type="dxa"/>
          </w:tcPr>
          <w:p w:rsidR="00184D8F" w:rsidRDefault="00184D8F" w:rsidP="00184D8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184D8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01766B" w:rsidP="006F58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Inter-disciplinary programme 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>with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agreed short- and long-term goals, (which are patient-</w:t>
            </w:r>
            <w:r w:rsidR="00D31E66" w:rsidRPr="006E1755">
              <w:rPr>
                <w:rFonts w:ascii="Arial" w:hAnsi="Arial" w:cs="Arial"/>
                <w:sz w:val="20"/>
                <w:szCs w:val="20"/>
              </w:rPr>
              <w:t xml:space="preserve">led 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>,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wherever possible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1766B" w:rsidRPr="006E1755" w:rsidRDefault="0001766B" w:rsidP="006F58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Goal</w:t>
            </w:r>
            <w:r w:rsidR="009B6009">
              <w:rPr>
                <w:rFonts w:ascii="Arial" w:hAnsi="Arial" w:cs="Arial"/>
                <w:sz w:val="20"/>
                <w:szCs w:val="20"/>
              </w:rPr>
              <w:t>s are set within 2 weeks of admissions and reviewed at two-weekly intervals.</w:t>
            </w:r>
          </w:p>
          <w:p w:rsidR="00F00B51" w:rsidRDefault="00163E7D" w:rsidP="009B600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00B51">
              <w:rPr>
                <w:rFonts w:ascii="Arial" w:hAnsi="Arial" w:cs="Arial"/>
                <w:sz w:val="20"/>
                <w:szCs w:val="20"/>
              </w:rPr>
              <w:t>Access to early prosthetic</w:t>
            </w:r>
            <w:r w:rsidR="009B6009" w:rsidRPr="00F00B51">
              <w:rPr>
                <w:rFonts w:ascii="Arial" w:hAnsi="Arial" w:cs="Arial"/>
                <w:sz w:val="20"/>
                <w:szCs w:val="20"/>
              </w:rPr>
              <w:t xml:space="preserve"> and orthotic assessment via outpatient clinic</w:t>
            </w:r>
          </w:p>
          <w:p w:rsidR="00856885" w:rsidRPr="006E1755" w:rsidRDefault="0001766B" w:rsidP="00856885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Discharge planning starts from point of admission</w:t>
            </w:r>
            <w:r w:rsidR="007E0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>involving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B3F">
              <w:rPr>
                <w:rFonts w:ascii="Arial" w:hAnsi="Arial" w:cs="Arial"/>
                <w:sz w:val="20"/>
                <w:szCs w:val="20"/>
              </w:rPr>
              <w:t xml:space="preserve"> Specialist social worker, </w:t>
            </w:r>
            <w:r w:rsidR="009B6009">
              <w:rPr>
                <w:rFonts w:ascii="Arial" w:hAnsi="Arial" w:cs="Arial"/>
                <w:sz w:val="20"/>
                <w:szCs w:val="20"/>
              </w:rPr>
              <w:t>Neuro navigators, pathway coordinators</w:t>
            </w:r>
            <w:r w:rsidR="00F00B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social services, </w:t>
            </w:r>
            <w:r w:rsidR="00D31E66" w:rsidRPr="006E1755">
              <w:rPr>
                <w:rFonts w:ascii="Arial" w:hAnsi="Arial" w:cs="Arial"/>
                <w:sz w:val="20"/>
                <w:szCs w:val="20"/>
              </w:rPr>
              <w:t>CCGS</w:t>
            </w:r>
            <w:r w:rsidRPr="006E1755">
              <w:rPr>
                <w:rFonts w:ascii="Arial" w:hAnsi="Arial" w:cs="Arial"/>
                <w:sz w:val="20"/>
                <w:szCs w:val="20"/>
              </w:rPr>
              <w:t>, housing and relevant community rehabilitation and care team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01766B" w:rsidRPr="006E1755" w:rsidRDefault="00856885" w:rsidP="006F58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Preparation for discharge </w:t>
            </w:r>
            <w:r w:rsidR="00B31219" w:rsidRPr="006E1755">
              <w:rPr>
                <w:rFonts w:ascii="Arial" w:hAnsi="Arial" w:cs="Arial"/>
                <w:sz w:val="20"/>
                <w:szCs w:val="20"/>
              </w:rPr>
              <w:t xml:space="preserve">may include 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graded </w:t>
            </w:r>
            <w:r w:rsidR="00B31219" w:rsidRPr="006E1755">
              <w:rPr>
                <w:rFonts w:ascii="Arial" w:hAnsi="Arial" w:cs="Arial"/>
                <w:sz w:val="20"/>
                <w:szCs w:val="20"/>
              </w:rPr>
              <w:t>exposure to the community, for example weekend leave.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66B" w:rsidRPr="006E1755" w:rsidRDefault="0001766B" w:rsidP="00C82E4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Family and carer support offered as an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 xml:space="preserve"> integral part of the programme</w:t>
            </w:r>
          </w:p>
          <w:p w:rsidR="00856885" w:rsidRPr="006E1755" w:rsidRDefault="0001766B" w:rsidP="006F58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A key-worker </w:t>
            </w:r>
            <w:proofErr w:type="gramStart"/>
            <w:r w:rsidRPr="006E1755">
              <w:rPr>
                <w:rFonts w:ascii="Arial" w:hAnsi="Arial" w:cs="Arial"/>
                <w:sz w:val="20"/>
                <w:szCs w:val="20"/>
              </w:rPr>
              <w:t>is allocated</w:t>
            </w:r>
            <w:proofErr w:type="gramEnd"/>
            <w:r w:rsidRPr="006E1755">
              <w:rPr>
                <w:rFonts w:ascii="Arial" w:hAnsi="Arial" w:cs="Arial"/>
                <w:sz w:val="20"/>
                <w:szCs w:val="20"/>
              </w:rPr>
              <w:t xml:space="preserve"> to each patient to act as a case co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>-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ordinator. </w:t>
            </w:r>
          </w:p>
          <w:p w:rsidR="0001766B" w:rsidRPr="006E1755" w:rsidRDefault="0001766B" w:rsidP="006F58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Specialist equipment 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 xml:space="preserve">funding </w:t>
            </w:r>
            <w:r w:rsidRPr="006E1755">
              <w:rPr>
                <w:rFonts w:ascii="Arial" w:hAnsi="Arial" w:cs="Arial"/>
                <w:sz w:val="20"/>
                <w:szCs w:val="20"/>
              </w:rPr>
              <w:t>requirements are addressed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>, and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negotiated with the p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 xml:space="preserve">atient’s local </w:t>
            </w:r>
            <w:r w:rsidR="00CF0EB5">
              <w:rPr>
                <w:rFonts w:ascii="Arial" w:hAnsi="Arial" w:cs="Arial"/>
                <w:sz w:val="20"/>
                <w:szCs w:val="20"/>
              </w:rPr>
              <w:t>CCG</w:t>
            </w:r>
            <w:r w:rsidR="00856885" w:rsidRPr="006E1755">
              <w:rPr>
                <w:rFonts w:ascii="Arial" w:hAnsi="Arial" w:cs="Arial"/>
                <w:sz w:val="20"/>
                <w:szCs w:val="20"/>
              </w:rPr>
              <w:t xml:space="preserve"> or social services as necessary</w:t>
            </w:r>
          </w:p>
          <w:p w:rsidR="00856885" w:rsidRPr="006E1755" w:rsidRDefault="00856885" w:rsidP="006F58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A f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amily </w:t>
            </w:r>
            <w:r w:rsidR="00317C48">
              <w:rPr>
                <w:rFonts w:ascii="Arial" w:hAnsi="Arial" w:cs="Arial"/>
                <w:sz w:val="20"/>
                <w:szCs w:val="20"/>
              </w:rPr>
              <w:t>meeting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E1755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>held</w:t>
            </w:r>
            <w:proofErr w:type="gramEnd"/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B41" w:rsidRPr="006E1755">
              <w:rPr>
                <w:rFonts w:ascii="Arial" w:hAnsi="Arial" w:cs="Arial"/>
                <w:sz w:val="20"/>
                <w:szCs w:val="20"/>
              </w:rPr>
              <w:t xml:space="preserve">within 2 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weeks </w:t>
            </w:r>
            <w:r w:rsidR="000A7B41" w:rsidRPr="006E175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admission to </w:t>
            </w:r>
            <w:r w:rsidRPr="006E1755">
              <w:rPr>
                <w:rFonts w:ascii="Arial" w:hAnsi="Arial" w:cs="Arial"/>
                <w:sz w:val="20"/>
                <w:szCs w:val="20"/>
              </w:rPr>
              <w:t>discuss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 likely outcomes, discharge destination etc</w:t>
            </w:r>
            <w:r w:rsidR="00581AB3">
              <w:rPr>
                <w:rFonts w:ascii="Arial" w:hAnsi="Arial" w:cs="Arial"/>
                <w:sz w:val="20"/>
                <w:szCs w:val="20"/>
              </w:rPr>
              <w:t>.</w:t>
            </w:r>
            <w:r w:rsidR="00317C48">
              <w:rPr>
                <w:rFonts w:ascii="Arial" w:hAnsi="Arial" w:cs="Arial"/>
                <w:sz w:val="20"/>
                <w:szCs w:val="20"/>
              </w:rPr>
              <w:t xml:space="preserve"> and after that on a regular basis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95EC0" w:rsidRPr="006E1755" w:rsidRDefault="00856885" w:rsidP="00B3121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Written i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>provided to patient and f</w:t>
            </w:r>
            <w:r w:rsidRPr="006E1755">
              <w:rPr>
                <w:rFonts w:ascii="Arial" w:hAnsi="Arial" w:cs="Arial"/>
                <w:sz w:val="20"/>
                <w:szCs w:val="20"/>
              </w:rPr>
              <w:t>amily before and during stay</w:t>
            </w:r>
          </w:p>
          <w:p w:rsidR="0001766B" w:rsidRDefault="00B31219" w:rsidP="00B3121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A d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>ischarge summary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and care plan are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 given to patient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>family</w:t>
            </w:r>
          </w:p>
          <w:p w:rsidR="00EC6701" w:rsidRPr="006E1755" w:rsidRDefault="00EC6701" w:rsidP="00EC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B31219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Waiting time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 for admission</w:t>
            </w:r>
          </w:p>
        </w:tc>
        <w:tc>
          <w:tcPr>
            <w:tcW w:w="9360" w:type="dxa"/>
          </w:tcPr>
          <w:p w:rsidR="00184D8F" w:rsidRDefault="00184D8F" w:rsidP="00184D8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90F73" w:rsidRDefault="00490F73" w:rsidP="00184D8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0F73">
              <w:rPr>
                <w:rFonts w:ascii="Arial" w:hAnsi="Arial" w:cs="Arial"/>
                <w:sz w:val="20"/>
                <w:szCs w:val="20"/>
              </w:rPr>
              <w:t xml:space="preserve">All referrals </w:t>
            </w:r>
            <w:proofErr w:type="gramStart"/>
            <w:r w:rsidRPr="00EC6701">
              <w:rPr>
                <w:rFonts w:ascii="Arial" w:hAnsi="Arial" w:cs="Arial"/>
                <w:sz w:val="20"/>
                <w:szCs w:val="20"/>
              </w:rPr>
              <w:t>will be triaged</w:t>
            </w:r>
            <w:proofErr w:type="gramEnd"/>
            <w:r w:rsidRPr="00EC6701">
              <w:rPr>
                <w:rFonts w:ascii="Arial" w:hAnsi="Arial" w:cs="Arial"/>
                <w:sz w:val="20"/>
                <w:szCs w:val="20"/>
              </w:rPr>
              <w:t xml:space="preserve"> within 2 working</w:t>
            </w:r>
            <w:r w:rsidR="00EC6701" w:rsidRPr="00EC6701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Pr="00EC6701">
              <w:rPr>
                <w:rFonts w:ascii="Arial" w:hAnsi="Arial" w:cs="Arial"/>
                <w:sz w:val="20"/>
                <w:szCs w:val="20"/>
              </w:rPr>
              <w:t xml:space="preserve"> and an</w:t>
            </w:r>
            <w:r w:rsidRPr="00490F73">
              <w:rPr>
                <w:rFonts w:ascii="Arial" w:hAnsi="Arial" w:cs="Arial"/>
                <w:sz w:val="20"/>
                <w:szCs w:val="20"/>
              </w:rPr>
              <w:t xml:space="preserve"> assessment offered if appropriate. </w:t>
            </w:r>
          </w:p>
          <w:p w:rsidR="00A905CD" w:rsidRPr="00490F73" w:rsidRDefault="00A905CD" w:rsidP="00A905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endeavour to admit patients within 2 weeks of acceptance and will provide fortnightly updates to referrers on estimated dates of admission</w:t>
            </w:r>
          </w:p>
          <w:p w:rsidR="0001766B" w:rsidRPr="006E1755" w:rsidRDefault="0001766B" w:rsidP="00490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01766B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Main outcome measures recorded</w:t>
            </w:r>
          </w:p>
        </w:tc>
        <w:tc>
          <w:tcPr>
            <w:tcW w:w="9360" w:type="dxa"/>
          </w:tcPr>
          <w:p w:rsidR="00184D8F" w:rsidRDefault="00184D8F" w:rsidP="00184D8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491441" w:rsidP="00C82E4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UKROC da</w:t>
            </w:r>
            <w:r w:rsidR="003525C2">
              <w:rPr>
                <w:rFonts w:ascii="Arial" w:hAnsi="Arial" w:cs="Arial"/>
                <w:sz w:val="20"/>
                <w:szCs w:val="20"/>
              </w:rPr>
              <w:t xml:space="preserve">ta set for 2b service including 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>UK FIM+FAM (</w:t>
            </w:r>
            <w:r w:rsidR="00B31219" w:rsidRPr="006E1755">
              <w:rPr>
                <w:rFonts w:ascii="Arial" w:hAnsi="Arial" w:cs="Arial"/>
                <w:sz w:val="20"/>
                <w:szCs w:val="20"/>
              </w:rPr>
              <w:t xml:space="preserve">Functional Independence measure and 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Functional </w:t>
            </w:r>
            <w:r w:rsidR="00B31219" w:rsidRPr="006E1755">
              <w:rPr>
                <w:rFonts w:ascii="Arial" w:hAnsi="Arial" w:cs="Arial"/>
                <w:sz w:val="20"/>
                <w:szCs w:val="20"/>
              </w:rPr>
              <w:t>A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ssessment </w:t>
            </w:r>
            <w:r w:rsidR="00B31219" w:rsidRPr="006E1755">
              <w:rPr>
                <w:rFonts w:ascii="Arial" w:hAnsi="Arial" w:cs="Arial"/>
                <w:sz w:val="20"/>
                <w:szCs w:val="20"/>
              </w:rPr>
              <w:t>Measure)</w:t>
            </w:r>
          </w:p>
          <w:p w:rsidR="00D31E66" w:rsidRDefault="00B31219" w:rsidP="00C82E4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C6701">
              <w:rPr>
                <w:rFonts w:ascii="Arial" w:hAnsi="Arial" w:cs="Arial"/>
                <w:sz w:val="20"/>
                <w:szCs w:val="20"/>
              </w:rPr>
              <w:t>Rehabilitation Complexity Scale</w:t>
            </w:r>
          </w:p>
          <w:p w:rsidR="00491441" w:rsidRPr="009B6009" w:rsidRDefault="009B6009" w:rsidP="0086196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Mayo- Portland Adaptability Inventory</w:t>
            </w:r>
            <w:r w:rsidR="003525C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00B51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="00491441" w:rsidRPr="009B6009">
              <w:rPr>
                <w:rFonts w:ascii="Arial" w:hAnsi="Arial" w:cs="Arial"/>
                <w:sz w:val="20"/>
                <w:szCs w:val="20"/>
              </w:rPr>
              <w:t>other measures as clinically appropriate</w:t>
            </w:r>
          </w:p>
          <w:p w:rsidR="00EC6701" w:rsidRPr="006E1755" w:rsidRDefault="00EC6701" w:rsidP="00EC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8F" w:rsidRDefault="00184D8F" w:rsidP="00C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66B" w:rsidRPr="006E1755" w:rsidRDefault="0001766B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Other reported outcomes</w:t>
            </w:r>
          </w:p>
        </w:tc>
        <w:tc>
          <w:tcPr>
            <w:tcW w:w="9360" w:type="dxa"/>
          </w:tcPr>
          <w:p w:rsidR="00184D8F" w:rsidRDefault="00184D8F" w:rsidP="00184D8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61112" w:rsidRPr="006E1755" w:rsidRDefault="00961112" w:rsidP="00C82E4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destination on discharge: Home No therapy; Home level 3 therapy, Home Enhanced Therapy, Acute Hospital, Specialist Rehab Unit, Other</w:t>
            </w:r>
          </w:p>
          <w:p w:rsidR="0001766B" w:rsidRPr="006E1755" w:rsidRDefault="00B31219" w:rsidP="00C82E4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Length of  Stay </w:t>
            </w:r>
          </w:p>
          <w:p w:rsidR="00961112" w:rsidRDefault="0001766B" w:rsidP="00C82E4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C6701">
              <w:rPr>
                <w:rFonts w:ascii="Arial" w:hAnsi="Arial" w:cs="Arial"/>
                <w:sz w:val="20"/>
                <w:szCs w:val="20"/>
              </w:rPr>
              <w:t>Patient/family feedback questionnaire</w:t>
            </w:r>
            <w:r w:rsidR="00A905CD">
              <w:rPr>
                <w:rFonts w:ascii="Arial" w:hAnsi="Arial" w:cs="Arial"/>
                <w:sz w:val="20"/>
                <w:szCs w:val="20"/>
              </w:rPr>
              <w:t xml:space="preserve"> reported using local Trust satisfaction surveys (with the intent to develop a shared rehabilitation-specific questionnaire)</w:t>
            </w:r>
          </w:p>
          <w:p w:rsidR="00B31219" w:rsidRPr="006E1755" w:rsidRDefault="00961112" w:rsidP="00C82E4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Referrer satisfaction rating</w:t>
            </w:r>
            <w:r w:rsidR="0001766B" w:rsidRPr="006E1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5CD">
              <w:rPr>
                <w:rFonts w:ascii="Arial" w:hAnsi="Arial" w:cs="Arial"/>
                <w:sz w:val="20"/>
                <w:szCs w:val="20"/>
              </w:rPr>
              <w:t>reported quarterly</w:t>
            </w:r>
          </w:p>
          <w:p w:rsidR="0001766B" w:rsidRPr="006E1755" w:rsidRDefault="0001766B" w:rsidP="00C82E4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Adverse inc</w:t>
            </w:r>
            <w:r w:rsidR="00B31219" w:rsidRPr="006E1755">
              <w:rPr>
                <w:rFonts w:ascii="Arial" w:hAnsi="Arial" w:cs="Arial"/>
                <w:sz w:val="20"/>
                <w:szCs w:val="20"/>
              </w:rPr>
              <w:t xml:space="preserve">idents and ‘near </w:t>
            </w:r>
            <w:proofErr w:type="spellStart"/>
            <w:r w:rsidR="00B31219" w:rsidRPr="006E1755">
              <w:rPr>
                <w:rFonts w:ascii="Arial" w:hAnsi="Arial" w:cs="Arial"/>
                <w:sz w:val="20"/>
                <w:szCs w:val="20"/>
              </w:rPr>
              <w:t>miss’</w:t>
            </w:r>
            <w:proofErr w:type="spellEnd"/>
            <w:r w:rsidR="00B31219" w:rsidRPr="006E1755">
              <w:rPr>
                <w:rFonts w:ascii="Arial" w:hAnsi="Arial" w:cs="Arial"/>
                <w:sz w:val="20"/>
                <w:szCs w:val="20"/>
              </w:rPr>
              <w:t xml:space="preserve"> register</w:t>
            </w:r>
          </w:p>
          <w:p w:rsidR="0001766B" w:rsidRDefault="0001766B" w:rsidP="00C82E4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 xml:space="preserve">Record of </w:t>
            </w:r>
            <w:r w:rsidR="00B31219" w:rsidRPr="006E1755">
              <w:rPr>
                <w:rFonts w:ascii="Arial" w:hAnsi="Arial" w:cs="Arial"/>
                <w:sz w:val="20"/>
                <w:szCs w:val="20"/>
              </w:rPr>
              <w:t xml:space="preserve">plaudits and </w:t>
            </w:r>
            <w:r w:rsidRPr="006E1755">
              <w:rPr>
                <w:rFonts w:ascii="Arial" w:hAnsi="Arial" w:cs="Arial"/>
                <w:sz w:val="20"/>
                <w:szCs w:val="20"/>
              </w:rPr>
              <w:t>complaints</w:t>
            </w:r>
          </w:p>
          <w:p w:rsidR="00EC6701" w:rsidRPr="006E1755" w:rsidRDefault="00EC6701" w:rsidP="00EC670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6B" w:rsidRPr="006E1755">
        <w:tc>
          <w:tcPr>
            <w:tcW w:w="2160" w:type="dxa"/>
          </w:tcPr>
          <w:p w:rsidR="0001766B" w:rsidRPr="006E1755" w:rsidRDefault="0001766B" w:rsidP="00C82E48">
            <w:p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Audit and Clinical governance</w:t>
            </w:r>
          </w:p>
        </w:tc>
        <w:tc>
          <w:tcPr>
            <w:tcW w:w="9360" w:type="dxa"/>
          </w:tcPr>
          <w:p w:rsidR="005B2EE1" w:rsidRPr="006E1755" w:rsidRDefault="005B2EE1" w:rsidP="005B2EE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All staff participate in yearly appraisal and objective setting and monitoring</w:t>
            </w:r>
          </w:p>
          <w:p w:rsidR="00EC6701" w:rsidRPr="006E1755" w:rsidRDefault="0001766B" w:rsidP="00B667E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E1755">
              <w:rPr>
                <w:rFonts w:ascii="Arial" w:hAnsi="Arial" w:cs="Arial"/>
                <w:sz w:val="20"/>
                <w:szCs w:val="20"/>
              </w:rPr>
              <w:t>Rolling audit of outcomes and patient</w:t>
            </w:r>
            <w:r w:rsidR="00961112">
              <w:rPr>
                <w:rFonts w:ascii="Arial" w:hAnsi="Arial" w:cs="Arial"/>
                <w:sz w:val="20"/>
                <w:szCs w:val="20"/>
              </w:rPr>
              <w:t xml:space="preserve"> and referrer satisfaction</w:t>
            </w:r>
            <w:r w:rsidRPr="006E1755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</w:tc>
      </w:tr>
    </w:tbl>
    <w:p w:rsidR="00D31E66" w:rsidRPr="006E1755" w:rsidRDefault="00D31E66" w:rsidP="006E1755">
      <w:pPr>
        <w:ind w:left="6480"/>
        <w:rPr>
          <w:rFonts w:ascii="Arial" w:hAnsi="Arial" w:cs="Arial"/>
          <w:i/>
          <w:iCs/>
          <w:sz w:val="20"/>
          <w:szCs w:val="20"/>
        </w:rPr>
      </w:pPr>
    </w:p>
    <w:sectPr w:rsidR="00D31E66" w:rsidRPr="006E1755" w:rsidSect="0038484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75" w:right="663" w:bottom="873" w:left="1797" w:header="989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FD" w:rsidRDefault="00BF21FD">
      <w:r>
        <w:separator/>
      </w:r>
    </w:p>
  </w:endnote>
  <w:endnote w:type="continuationSeparator" w:id="0">
    <w:p w:rsidR="00BF21FD" w:rsidRDefault="00BF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F9" w:rsidRPr="006E1755" w:rsidRDefault="00B667EB" w:rsidP="006E175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March 2023</w:t>
    </w:r>
  </w:p>
  <w:p w:rsidR="006177F9" w:rsidRPr="006E1755" w:rsidRDefault="006177F9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4E" w:rsidRDefault="003848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3571240</wp:posOffset>
          </wp:positionH>
          <wp:positionV relativeFrom="bottomMargin">
            <wp:posOffset>163830</wp:posOffset>
          </wp:positionV>
          <wp:extent cx="2345690" cy="280035"/>
          <wp:effectExtent l="1905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hLond Maudsley FT Col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-842645</wp:posOffset>
          </wp:positionH>
          <wp:positionV relativeFrom="bottomMargin">
            <wp:posOffset>175895</wp:posOffset>
          </wp:positionV>
          <wp:extent cx="1880235" cy="280035"/>
          <wp:effectExtent l="19050" t="0" r="5715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TT logo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484E"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1340213</wp:posOffset>
          </wp:positionH>
          <wp:positionV relativeFrom="bottomMargin">
            <wp:posOffset>176403</wp:posOffset>
          </wp:positionV>
          <wp:extent cx="1958721" cy="280416"/>
          <wp:effectExtent l="19050" t="0" r="3429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h_ft_colou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21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FD" w:rsidRDefault="00BF21FD">
      <w:r>
        <w:separator/>
      </w:r>
    </w:p>
  </w:footnote>
  <w:footnote w:type="continuationSeparator" w:id="0">
    <w:p w:rsidR="00BF21FD" w:rsidRDefault="00BF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F9" w:rsidRDefault="00F64CE7" w:rsidP="00EC6701">
    <w:pPr>
      <w:pStyle w:val="Header"/>
      <w:tabs>
        <w:tab w:val="clear" w:pos="4320"/>
        <w:tab w:val="clear" w:pos="8640"/>
      </w:tabs>
      <w:ind w:left="-709"/>
      <w:jc w:val="center"/>
      <w:rPr>
        <w:rFonts w:ascii="Arial" w:hAnsi="Arial" w:cs="Arial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-532130</wp:posOffset>
              </wp:positionV>
              <wp:extent cx="2465705" cy="276225"/>
              <wp:effectExtent l="0" t="0" r="1143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0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67EB" w:rsidRPr="00EC6701" w:rsidRDefault="00B667EB" w:rsidP="00217D5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Updated March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9.4pt;margin-top:-41.9pt;width:194.15pt;height:21.7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">
              <v:textbox style="mso-fit-shape-to-text:t">
                <w:txbxContent>
                  <w:p w:rsidR="00B667EB" w:rsidRPr="00EC6701" w:rsidRDefault="00B667EB" w:rsidP="00217D5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Updated March 2023</w:t>
                    </w:r>
                  </w:p>
                </w:txbxContent>
              </v:textbox>
            </v:shape>
          </w:pict>
        </mc:Fallback>
      </mc:AlternateContent>
    </w:r>
    <w:r w:rsidR="00217D54" w:rsidRPr="00DC4356">
      <w:rPr>
        <w:rFonts w:ascii="Arial" w:hAnsi="Arial" w:cs="Arial"/>
        <w:b/>
        <w:color w:val="0070C0"/>
        <w:sz w:val="32"/>
        <w:szCs w:val="32"/>
      </w:rPr>
      <w:t>South East London Neuro Rehabilitation Service</w:t>
    </w:r>
    <w:r w:rsidR="00217D54">
      <w:rPr>
        <w:rFonts w:ascii="Arial" w:hAnsi="Arial" w:cs="Arial"/>
        <w:b/>
        <w:color w:val="0070C0"/>
        <w:sz w:val="32"/>
        <w:szCs w:val="32"/>
      </w:rPr>
      <w:br/>
    </w:r>
    <w:r w:rsidR="00217D54" w:rsidRPr="00DC4356">
      <w:rPr>
        <w:rFonts w:ascii="Arial" w:hAnsi="Arial" w:cs="Arial"/>
      </w:rPr>
      <w:t>Delivered by King’s Health Partners</w:t>
    </w:r>
    <w:r w:rsidR="00217D54">
      <w:rPr>
        <w:rFonts w:ascii="Arial" w:hAnsi="Arial" w:cs="Arial"/>
      </w:rPr>
      <w:t>, pioneering better health for all</w:t>
    </w:r>
  </w:p>
  <w:p w:rsidR="00EC6701" w:rsidRDefault="00EC6701" w:rsidP="0060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4E" w:rsidRDefault="00F64CE7" w:rsidP="0038484E">
    <w:pPr>
      <w:pStyle w:val="Header"/>
      <w:tabs>
        <w:tab w:val="clear" w:pos="4320"/>
        <w:tab w:val="clear" w:pos="8640"/>
      </w:tabs>
      <w:ind w:left="-709"/>
      <w:jc w:val="center"/>
      <w:rPr>
        <w:rFonts w:ascii="Arial" w:hAnsi="Arial" w:cs="Arial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-532130</wp:posOffset>
              </wp:positionV>
              <wp:extent cx="2465705" cy="276225"/>
              <wp:effectExtent l="0" t="0" r="1143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0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67EB" w:rsidRPr="00EC6701" w:rsidRDefault="00B667EB" w:rsidP="0038484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Updated March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9.4pt;margin-top:-41.9pt;width:194.15pt;height:21.7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">
              <v:textbox style="mso-fit-shape-to-text:t">
                <w:txbxContent>
                  <w:p w:rsidR="00B667EB" w:rsidRPr="00EC6701" w:rsidRDefault="00B667EB" w:rsidP="0038484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Updated March 2023</w:t>
                    </w:r>
                  </w:p>
                </w:txbxContent>
              </v:textbox>
            </v:shape>
          </w:pict>
        </mc:Fallback>
      </mc:AlternateContent>
    </w:r>
    <w:r w:rsidR="0038484E" w:rsidRPr="00DC4356">
      <w:rPr>
        <w:rFonts w:ascii="Arial" w:hAnsi="Arial" w:cs="Arial"/>
        <w:b/>
        <w:color w:val="0070C0"/>
        <w:sz w:val="32"/>
        <w:szCs w:val="32"/>
      </w:rPr>
      <w:t>South East London Neuro Rehabilitation Service</w:t>
    </w:r>
    <w:r w:rsidR="0038484E">
      <w:rPr>
        <w:rFonts w:ascii="Arial" w:hAnsi="Arial" w:cs="Arial"/>
        <w:b/>
        <w:color w:val="0070C0"/>
        <w:sz w:val="32"/>
        <w:szCs w:val="32"/>
      </w:rPr>
      <w:br/>
    </w:r>
    <w:r w:rsidR="0038484E" w:rsidRPr="00DC4356">
      <w:rPr>
        <w:rFonts w:ascii="Arial" w:hAnsi="Arial" w:cs="Arial"/>
      </w:rPr>
      <w:t>Delivered by King’s Health Partners</w:t>
    </w:r>
    <w:r w:rsidR="0038484E">
      <w:rPr>
        <w:rFonts w:ascii="Arial" w:hAnsi="Arial" w:cs="Arial"/>
      </w:rPr>
      <w:t>, pioneering better health for all</w:t>
    </w:r>
  </w:p>
  <w:p w:rsidR="0038484E" w:rsidRDefault="0038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03"/>
    <w:multiLevelType w:val="hybridMultilevel"/>
    <w:tmpl w:val="BE68245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24948"/>
    <w:multiLevelType w:val="hybridMultilevel"/>
    <w:tmpl w:val="2CE4A5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51B23"/>
    <w:multiLevelType w:val="hybridMultilevel"/>
    <w:tmpl w:val="AD0E73F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1008B"/>
    <w:multiLevelType w:val="hybridMultilevel"/>
    <w:tmpl w:val="032C03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C6AB8"/>
    <w:multiLevelType w:val="hybridMultilevel"/>
    <w:tmpl w:val="C2EECF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15A6E"/>
    <w:multiLevelType w:val="hybridMultilevel"/>
    <w:tmpl w:val="F4E46A2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4E5BCD"/>
    <w:multiLevelType w:val="hybridMultilevel"/>
    <w:tmpl w:val="FFDE852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1611B"/>
    <w:multiLevelType w:val="hybridMultilevel"/>
    <w:tmpl w:val="20A6FE6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C65E1"/>
    <w:multiLevelType w:val="hybridMultilevel"/>
    <w:tmpl w:val="F51E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E595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F44DD"/>
    <w:multiLevelType w:val="hybridMultilevel"/>
    <w:tmpl w:val="2E12B98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879B4"/>
    <w:multiLevelType w:val="hybridMultilevel"/>
    <w:tmpl w:val="7BF4DD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D7FA1"/>
    <w:multiLevelType w:val="hybridMultilevel"/>
    <w:tmpl w:val="32100DC0"/>
    <w:lvl w:ilvl="0" w:tplc="BA40BC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B5270"/>
    <w:multiLevelType w:val="hybridMultilevel"/>
    <w:tmpl w:val="D8E8EA6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53212"/>
    <w:multiLevelType w:val="hybridMultilevel"/>
    <w:tmpl w:val="4C0A8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F4296"/>
    <w:multiLevelType w:val="hybridMultilevel"/>
    <w:tmpl w:val="03A2BCB0"/>
    <w:lvl w:ilvl="0" w:tplc="BA40B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CD1A35"/>
    <w:multiLevelType w:val="hybridMultilevel"/>
    <w:tmpl w:val="37587EE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544B45"/>
    <w:multiLevelType w:val="hybridMultilevel"/>
    <w:tmpl w:val="6DCCC1B2"/>
    <w:lvl w:ilvl="0" w:tplc="BA40BC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9144A"/>
    <w:multiLevelType w:val="hybridMultilevel"/>
    <w:tmpl w:val="1BBAFE9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5"/>
  </w:num>
  <w:num w:numId="10">
    <w:abstractNumId w:val="10"/>
  </w:num>
  <w:num w:numId="11">
    <w:abstractNumId w:val="1"/>
  </w:num>
  <w:num w:numId="12">
    <w:abstractNumId w:val="16"/>
  </w:num>
  <w:num w:numId="13">
    <w:abstractNumId w:val="11"/>
  </w:num>
  <w:num w:numId="14">
    <w:abstractNumId w:val="8"/>
  </w:num>
  <w:num w:numId="15">
    <w:abstractNumId w:val="14"/>
  </w:num>
  <w:num w:numId="16">
    <w:abstractNumId w:val="13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8"/>
    <w:rsid w:val="0001766B"/>
    <w:rsid w:val="0002272C"/>
    <w:rsid w:val="00070E48"/>
    <w:rsid w:val="00073961"/>
    <w:rsid w:val="00077892"/>
    <w:rsid w:val="00096738"/>
    <w:rsid w:val="000A7B41"/>
    <w:rsid w:val="000E5B24"/>
    <w:rsid w:val="0012405F"/>
    <w:rsid w:val="00127459"/>
    <w:rsid w:val="00141DBC"/>
    <w:rsid w:val="001537E7"/>
    <w:rsid w:val="00153F7B"/>
    <w:rsid w:val="00163E7D"/>
    <w:rsid w:val="00167D89"/>
    <w:rsid w:val="00184D8F"/>
    <w:rsid w:val="001B279C"/>
    <w:rsid w:val="001D6DC0"/>
    <w:rsid w:val="001E1B29"/>
    <w:rsid w:val="001E7F8E"/>
    <w:rsid w:val="00217D54"/>
    <w:rsid w:val="00235853"/>
    <w:rsid w:val="002A5EC2"/>
    <w:rsid w:val="002B6FFB"/>
    <w:rsid w:val="002F66C4"/>
    <w:rsid w:val="00317C48"/>
    <w:rsid w:val="003339D1"/>
    <w:rsid w:val="003525C2"/>
    <w:rsid w:val="00355A2B"/>
    <w:rsid w:val="00366AE3"/>
    <w:rsid w:val="00371404"/>
    <w:rsid w:val="00381D4E"/>
    <w:rsid w:val="0038484E"/>
    <w:rsid w:val="003879A5"/>
    <w:rsid w:val="003D6FF2"/>
    <w:rsid w:val="003F75FF"/>
    <w:rsid w:val="00404D1D"/>
    <w:rsid w:val="0041040E"/>
    <w:rsid w:val="00410B2D"/>
    <w:rsid w:val="0041360E"/>
    <w:rsid w:val="00423DB7"/>
    <w:rsid w:val="00434A01"/>
    <w:rsid w:val="00434AE4"/>
    <w:rsid w:val="00450827"/>
    <w:rsid w:val="00461FC9"/>
    <w:rsid w:val="00463845"/>
    <w:rsid w:val="00470FDB"/>
    <w:rsid w:val="00490F73"/>
    <w:rsid w:val="00491441"/>
    <w:rsid w:val="004A6EB0"/>
    <w:rsid w:val="004A7461"/>
    <w:rsid w:val="004E1D07"/>
    <w:rsid w:val="004F3F5D"/>
    <w:rsid w:val="00503F41"/>
    <w:rsid w:val="00505A0C"/>
    <w:rsid w:val="0055104F"/>
    <w:rsid w:val="00570457"/>
    <w:rsid w:val="00581AB3"/>
    <w:rsid w:val="00582967"/>
    <w:rsid w:val="005B2EE1"/>
    <w:rsid w:val="005D29FB"/>
    <w:rsid w:val="005D2BD7"/>
    <w:rsid w:val="006011B9"/>
    <w:rsid w:val="006177F9"/>
    <w:rsid w:val="0063748A"/>
    <w:rsid w:val="006558A9"/>
    <w:rsid w:val="00667EFF"/>
    <w:rsid w:val="00690A33"/>
    <w:rsid w:val="0069281C"/>
    <w:rsid w:val="006E1755"/>
    <w:rsid w:val="006F5843"/>
    <w:rsid w:val="00771E38"/>
    <w:rsid w:val="00792C37"/>
    <w:rsid w:val="00795C29"/>
    <w:rsid w:val="00797572"/>
    <w:rsid w:val="007B42C1"/>
    <w:rsid w:val="007E0CB1"/>
    <w:rsid w:val="007E6E1C"/>
    <w:rsid w:val="0080033E"/>
    <w:rsid w:val="008334C8"/>
    <w:rsid w:val="00856885"/>
    <w:rsid w:val="0086196E"/>
    <w:rsid w:val="00885246"/>
    <w:rsid w:val="00885D56"/>
    <w:rsid w:val="00893382"/>
    <w:rsid w:val="008B2CDC"/>
    <w:rsid w:val="008F04E8"/>
    <w:rsid w:val="00905C9F"/>
    <w:rsid w:val="0091563E"/>
    <w:rsid w:val="00921249"/>
    <w:rsid w:val="00961112"/>
    <w:rsid w:val="00965C6A"/>
    <w:rsid w:val="00991FFA"/>
    <w:rsid w:val="00997636"/>
    <w:rsid w:val="009B6009"/>
    <w:rsid w:val="009B6640"/>
    <w:rsid w:val="009D12D6"/>
    <w:rsid w:val="009D3E93"/>
    <w:rsid w:val="009E0ADE"/>
    <w:rsid w:val="00A00E01"/>
    <w:rsid w:val="00A06290"/>
    <w:rsid w:val="00A26F09"/>
    <w:rsid w:val="00A2784E"/>
    <w:rsid w:val="00A3730C"/>
    <w:rsid w:val="00A53A10"/>
    <w:rsid w:val="00A80B48"/>
    <w:rsid w:val="00A905CD"/>
    <w:rsid w:val="00AA4994"/>
    <w:rsid w:val="00AC08DE"/>
    <w:rsid w:val="00AC38FD"/>
    <w:rsid w:val="00AC48CB"/>
    <w:rsid w:val="00AF070B"/>
    <w:rsid w:val="00AF5B1B"/>
    <w:rsid w:val="00B1476B"/>
    <w:rsid w:val="00B31219"/>
    <w:rsid w:val="00B45209"/>
    <w:rsid w:val="00B667EB"/>
    <w:rsid w:val="00B95470"/>
    <w:rsid w:val="00B96E42"/>
    <w:rsid w:val="00BF21FD"/>
    <w:rsid w:val="00C06E03"/>
    <w:rsid w:val="00C2123F"/>
    <w:rsid w:val="00C52BBC"/>
    <w:rsid w:val="00C52EBE"/>
    <w:rsid w:val="00C63BA6"/>
    <w:rsid w:val="00C82E48"/>
    <w:rsid w:val="00C90B3F"/>
    <w:rsid w:val="00C9761A"/>
    <w:rsid w:val="00C97BC5"/>
    <w:rsid w:val="00CB431C"/>
    <w:rsid w:val="00CE10F8"/>
    <w:rsid w:val="00CF0EB5"/>
    <w:rsid w:val="00D127BD"/>
    <w:rsid w:val="00D26DF3"/>
    <w:rsid w:val="00D30273"/>
    <w:rsid w:val="00D31E66"/>
    <w:rsid w:val="00D573D5"/>
    <w:rsid w:val="00D62DF9"/>
    <w:rsid w:val="00D835A6"/>
    <w:rsid w:val="00D95EC0"/>
    <w:rsid w:val="00E04D66"/>
    <w:rsid w:val="00E1369C"/>
    <w:rsid w:val="00E34CED"/>
    <w:rsid w:val="00E404D0"/>
    <w:rsid w:val="00E478AC"/>
    <w:rsid w:val="00E54ABF"/>
    <w:rsid w:val="00E62B1C"/>
    <w:rsid w:val="00E662C2"/>
    <w:rsid w:val="00E72312"/>
    <w:rsid w:val="00E7713F"/>
    <w:rsid w:val="00EC6701"/>
    <w:rsid w:val="00EE65AC"/>
    <w:rsid w:val="00EF53DC"/>
    <w:rsid w:val="00F00B51"/>
    <w:rsid w:val="00F01204"/>
    <w:rsid w:val="00F111D1"/>
    <w:rsid w:val="00F541F8"/>
    <w:rsid w:val="00F60CE6"/>
    <w:rsid w:val="00F64CE7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F5ECC0"/>
  <w15:docId w15:val="{62A6E28F-1C49-45A1-B281-0B978AF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E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2E4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2E48"/>
    <w:rPr>
      <w:b/>
      <w:bCs/>
    </w:rPr>
  </w:style>
  <w:style w:type="paragraph" w:styleId="Header">
    <w:name w:val="header"/>
    <w:basedOn w:val="Normal"/>
    <w:rsid w:val="00505A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A0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6640"/>
    <w:rPr>
      <w:sz w:val="20"/>
      <w:szCs w:val="20"/>
    </w:rPr>
  </w:style>
  <w:style w:type="character" w:styleId="FootnoteReference">
    <w:name w:val="footnote reference"/>
    <w:semiHidden/>
    <w:rsid w:val="009B6640"/>
    <w:rPr>
      <w:vertAlign w:val="superscript"/>
    </w:rPr>
  </w:style>
  <w:style w:type="paragraph" w:styleId="ListParagraph">
    <w:name w:val="List Paragraph"/>
    <w:basedOn w:val="Normal"/>
    <w:qFormat/>
    <w:rsid w:val="00163E7D"/>
    <w:pPr>
      <w:ind w:left="720"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rsid w:val="00124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405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D31E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1E66"/>
    <w:rPr>
      <w:sz w:val="20"/>
      <w:szCs w:val="20"/>
    </w:rPr>
  </w:style>
  <w:style w:type="character" w:customStyle="1" w:styleId="CommentTextChar">
    <w:name w:val="Comment Text Char"/>
    <w:link w:val="CommentText"/>
    <w:rsid w:val="00D31E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1E66"/>
    <w:rPr>
      <w:b/>
      <w:bCs/>
    </w:rPr>
  </w:style>
  <w:style w:type="character" w:customStyle="1" w:styleId="CommentSubjectChar">
    <w:name w:val="Comment Subject Char"/>
    <w:link w:val="CommentSubject"/>
    <w:rsid w:val="00D31E66"/>
    <w:rPr>
      <w:b/>
      <w:bCs/>
      <w:lang w:eastAsia="en-US"/>
    </w:rPr>
  </w:style>
  <w:style w:type="character" w:customStyle="1" w:styleId="apple-converted-space">
    <w:name w:val="apple-converted-space"/>
    <w:rsid w:val="006E1755"/>
  </w:style>
  <w:style w:type="character" w:styleId="Hyperlink">
    <w:name w:val="Hyperlink"/>
    <w:rsid w:val="006E17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E175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212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7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5280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47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06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8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9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158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544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136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02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801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784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ch-tr.SELNSreferrals@nhs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30E2-4730-43A6-BA46-F3F122E28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0164D-977F-4A0F-B940-6910C631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unit</vt:lpstr>
    </vt:vector>
  </TitlesOfParts>
  <Company>Kings College Hospital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unit</dc:title>
  <dc:creator>David Rushton</dc:creator>
  <cp:lastModifiedBy>Norman, Katie</cp:lastModifiedBy>
  <cp:revision>3</cp:revision>
  <cp:lastPrinted>2017-05-15T15:43:00Z</cp:lastPrinted>
  <dcterms:created xsi:type="dcterms:W3CDTF">2023-03-28T10:19:00Z</dcterms:created>
  <dcterms:modified xsi:type="dcterms:W3CDTF">2023-04-18T09:30:00Z</dcterms:modified>
</cp:coreProperties>
</file>