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502" w:rsidRPr="00993502" w:rsidRDefault="00993502" w:rsidP="00993502">
      <w:pPr>
        <w:rPr>
          <w:rFonts w:ascii="Arial" w:hAnsi="Arial"/>
          <w:b/>
          <w:sz w:val="28"/>
        </w:rPr>
      </w:pPr>
      <w:bookmarkStart w:id="0" w:name="_Toc332197787"/>
      <w:bookmarkStart w:id="1" w:name="_GoBack"/>
      <w:bookmarkEnd w:id="1"/>
    </w:p>
    <w:tbl>
      <w:tblPr>
        <w:tblW w:w="8864" w:type="dxa"/>
        <w:tblLook w:val="01E0" w:firstRow="1" w:lastRow="1" w:firstColumn="1" w:lastColumn="1" w:noHBand="0" w:noVBand="0"/>
      </w:tblPr>
      <w:tblGrid>
        <w:gridCol w:w="2943"/>
        <w:gridCol w:w="5921"/>
      </w:tblGrid>
      <w:tr w:rsidR="00993502" w:rsidRPr="00993502" w:rsidTr="00A967C0">
        <w:trPr>
          <w:trHeight w:val="1963"/>
        </w:trPr>
        <w:tc>
          <w:tcPr>
            <w:tcW w:w="8864" w:type="dxa"/>
            <w:gridSpan w:val="2"/>
            <w:tcBorders>
              <w:top w:val="double" w:sz="6" w:space="0" w:color="auto"/>
              <w:left w:val="double" w:sz="6" w:space="0" w:color="auto"/>
              <w:right w:val="double" w:sz="6" w:space="0" w:color="auto"/>
            </w:tcBorders>
            <w:vAlign w:val="center"/>
          </w:tcPr>
          <w:p w:rsidR="00993502" w:rsidRPr="00993502" w:rsidRDefault="00993502" w:rsidP="00993502">
            <w:pPr>
              <w:jc w:val="center"/>
              <w:rPr>
                <w:rFonts w:ascii="Arial" w:hAnsi="Arial"/>
                <w:b/>
                <w:sz w:val="36"/>
              </w:rPr>
            </w:pPr>
          </w:p>
          <w:p w:rsidR="00E56818" w:rsidRPr="00CA4806" w:rsidRDefault="00E56818" w:rsidP="00E56818">
            <w:pPr>
              <w:jc w:val="center"/>
              <w:rPr>
                <w:rFonts w:ascii="Arial" w:hAnsi="Arial"/>
                <w:b/>
                <w:sz w:val="36"/>
                <w:szCs w:val="36"/>
              </w:rPr>
            </w:pPr>
            <w:r w:rsidRPr="00CA4806">
              <w:rPr>
                <w:rFonts w:ascii="Arial" w:hAnsi="Arial"/>
                <w:b/>
                <w:sz w:val="36"/>
                <w:szCs w:val="36"/>
              </w:rPr>
              <w:t>Laboratory for Molecular Haemato-oncology (LMH)</w:t>
            </w:r>
          </w:p>
          <w:p w:rsidR="00E56818" w:rsidRPr="00CA4806" w:rsidRDefault="00E56818" w:rsidP="00E56818">
            <w:pPr>
              <w:jc w:val="center"/>
              <w:rPr>
                <w:rFonts w:ascii="Arial" w:hAnsi="Arial"/>
                <w:b/>
                <w:sz w:val="36"/>
                <w:szCs w:val="36"/>
              </w:rPr>
            </w:pPr>
            <w:r w:rsidRPr="00CA4806">
              <w:rPr>
                <w:rFonts w:ascii="Arial" w:hAnsi="Arial"/>
                <w:b/>
                <w:sz w:val="36"/>
                <w:szCs w:val="36"/>
              </w:rPr>
              <w:t>Laboratory User’s Handbook</w:t>
            </w:r>
          </w:p>
          <w:p w:rsidR="00993502" w:rsidRPr="00993502" w:rsidRDefault="00993502" w:rsidP="00E56818">
            <w:pPr>
              <w:jc w:val="center"/>
              <w:rPr>
                <w:rFonts w:ascii="Arial" w:hAnsi="Arial"/>
              </w:rPr>
            </w:pPr>
          </w:p>
        </w:tc>
      </w:tr>
      <w:tr w:rsidR="00993502" w:rsidRPr="00993502" w:rsidTr="00A967C0">
        <w:trPr>
          <w:trHeight w:val="851"/>
        </w:trPr>
        <w:tc>
          <w:tcPr>
            <w:tcW w:w="2943" w:type="dxa"/>
            <w:tcBorders>
              <w:top w:val="double" w:sz="6" w:space="0" w:color="auto"/>
            </w:tcBorders>
          </w:tcPr>
          <w:p w:rsidR="00993502" w:rsidRPr="00993502" w:rsidRDefault="00993502" w:rsidP="00993502">
            <w:pPr>
              <w:jc w:val="right"/>
              <w:rPr>
                <w:rFonts w:ascii="Arial" w:hAnsi="Arial"/>
                <w:sz w:val="28"/>
                <w:szCs w:val="28"/>
              </w:rPr>
            </w:pPr>
          </w:p>
        </w:tc>
        <w:tc>
          <w:tcPr>
            <w:tcW w:w="5921" w:type="dxa"/>
            <w:tcBorders>
              <w:top w:val="double" w:sz="6" w:space="0" w:color="auto"/>
            </w:tcBorders>
          </w:tcPr>
          <w:p w:rsidR="00993502" w:rsidRPr="00993502" w:rsidRDefault="00993502" w:rsidP="00993502">
            <w:pPr>
              <w:ind w:left="176"/>
              <w:jc w:val="left"/>
              <w:rPr>
                <w:rFonts w:ascii="Arial" w:hAnsi="Arial"/>
              </w:rPr>
            </w:pPr>
          </w:p>
        </w:tc>
      </w:tr>
      <w:tr w:rsidR="00993502" w:rsidRPr="00993502" w:rsidTr="00A967C0">
        <w:trPr>
          <w:trHeight w:val="851"/>
        </w:trPr>
        <w:tc>
          <w:tcPr>
            <w:tcW w:w="2943" w:type="dxa"/>
          </w:tcPr>
          <w:p w:rsidR="00993502" w:rsidRPr="00993502" w:rsidRDefault="00993502" w:rsidP="00993502">
            <w:pPr>
              <w:jc w:val="right"/>
              <w:rPr>
                <w:rFonts w:ascii="Arial" w:hAnsi="Arial"/>
                <w:sz w:val="28"/>
                <w:szCs w:val="28"/>
              </w:rPr>
            </w:pPr>
            <w:r w:rsidRPr="00993502">
              <w:rPr>
                <w:rFonts w:ascii="Arial" w:hAnsi="Arial"/>
                <w:sz w:val="28"/>
                <w:szCs w:val="28"/>
              </w:rPr>
              <w:t>Version number</w:t>
            </w:r>
          </w:p>
        </w:tc>
        <w:tc>
          <w:tcPr>
            <w:tcW w:w="5921" w:type="dxa"/>
          </w:tcPr>
          <w:p w:rsidR="00993502" w:rsidRPr="00993502" w:rsidRDefault="002773C4" w:rsidP="00993502">
            <w:pPr>
              <w:jc w:val="left"/>
              <w:rPr>
                <w:rFonts w:ascii="Arial" w:hAnsi="Arial"/>
                <w:sz w:val="28"/>
                <w:szCs w:val="28"/>
              </w:rPr>
            </w:pPr>
            <w:r>
              <w:rPr>
                <w:rFonts w:ascii="Arial" w:hAnsi="Arial"/>
                <w:sz w:val="28"/>
                <w:szCs w:val="28"/>
              </w:rPr>
              <w:t>4</w:t>
            </w:r>
            <w:r w:rsidR="00171AEF">
              <w:rPr>
                <w:rFonts w:ascii="Arial" w:hAnsi="Arial"/>
                <w:sz w:val="28"/>
                <w:szCs w:val="28"/>
              </w:rPr>
              <w:t>.1</w:t>
            </w:r>
          </w:p>
        </w:tc>
      </w:tr>
      <w:tr w:rsidR="00993502" w:rsidRPr="00993502" w:rsidTr="00A967C0">
        <w:trPr>
          <w:trHeight w:val="851"/>
        </w:trPr>
        <w:tc>
          <w:tcPr>
            <w:tcW w:w="2943" w:type="dxa"/>
          </w:tcPr>
          <w:p w:rsidR="00993502" w:rsidRPr="00993502" w:rsidRDefault="00993502" w:rsidP="00993502">
            <w:pPr>
              <w:jc w:val="right"/>
              <w:rPr>
                <w:rFonts w:ascii="Arial" w:hAnsi="Arial"/>
                <w:sz w:val="28"/>
                <w:szCs w:val="28"/>
              </w:rPr>
            </w:pPr>
            <w:r w:rsidRPr="00993502">
              <w:rPr>
                <w:rFonts w:ascii="Arial" w:hAnsi="Arial"/>
                <w:sz w:val="28"/>
                <w:szCs w:val="28"/>
              </w:rPr>
              <w:t>Author</w:t>
            </w:r>
          </w:p>
        </w:tc>
        <w:tc>
          <w:tcPr>
            <w:tcW w:w="5921" w:type="dxa"/>
          </w:tcPr>
          <w:p w:rsidR="00993502" w:rsidRPr="00993502" w:rsidRDefault="00E56818" w:rsidP="00993502">
            <w:pPr>
              <w:jc w:val="left"/>
              <w:rPr>
                <w:rFonts w:ascii="Arial" w:hAnsi="Arial"/>
                <w:color w:val="auto"/>
                <w:sz w:val="28"/>
                <w:szCs w:val="28"/>
              </w:rPr>
            </w:pPr>
            <w:r>
              <w:rPr>
                <w:rFonts w:ascii="Arial" w:hAnsi="Arial"/>
                <w:color w:val="auto"/>
                <w:sz w:val="28"/>
                <w:szCs w:val="28"/>
              </w:rPr>
              <w:t>Dr Nicholas Lea</w:t>
            </w:r>
          </w:p>
        </w:tc>
      </w:tr>
      <w:tr w:rsidR="00993502" w:rsidRPr="00993502" w:rsidTr="00A967C0">
        <w:trPr>
          <w:trHeight w:val="851"/>
        </w:trPr>
        <w:tc>
          <w:tcPr>
            <w:tcW w:w="2943" w:type="dxa"/>
          </w:tcPr>
          <w:p w:rsidR="00993502" w:rsidRPr="00993502" w:rsidRDefault="00993502" w:rsidP="00993502">
            <w:pPr>
              <w:jc w:val="right"/>
              <w:rPr>
                <w:rFonts w:ascii="Arial" w:hAnsi="Arial"/>
                <w:sz w:val="28"/>
                <w:szCs w:val="28"/>
              </w:rPr>
            </w:pPr>
            <w:r w:rsidRPr="00993502">
              <w:rPr>
                <w:rFonts w:ascii="Arial" w:hAnsi="Arial"/>
                <w:sz w:val="28"/>
                <w:szCs w:val="28"/>
              </w:rPr>
              <w:t>Authorised by</w:t>
            </w:r>
          </w:p>
        </w:tc>
        <w:tc>
          <w:tcPr>
            <w:tcW w:w="5921" w:type="dxa"/>
          </w:tcPr>
          <w:p w:rsidR="00993502" w:rsidRPr="00993502" w:rsidRDefault="00E56818" w:rsidP="00993502">
            <w:pPr>
              <w:jc w:val="left"/>
              <w:rPr>
                <w:rFonts w:ascii="Arial" w:hAnsi="Arial"/>
                <w:color w:val="auto"/>
                <w:sz w:val="28"/>
                <w:szCs w:val="28"/>
              </w:rPr>
            </w:pPr>
            <w:r>
              <w:rPr>
                <w:rFonts w:ascii="Arial" w:hAnsi="Arial"/>
                <w:color w:val="auto"/>
                <w:sz w:val="28"/>
                <w:szCs w:val="28"/>
              </w:rPr>
              <w:t>Dr Aytug Kizilors</w:t>
            </w:r>
          </w:p>
        </w:tc>
      </w:tr>
      <w:tr w:rsidR="00993502" w:rsidRPr="00993502" w:rsidTr="00A967C0">
        <w:trPr>
          <w:trHeight w:val="851"/>
        </w:trPr>
        <w:tc>
          <w:tcPr>
            <w:tcW w:w="2943" w:type="dxa"/>
          </w:tcPr>
          <w:p w:rsidR="00993502" w:rsidRPr="00993502" w:rsidRDefault="00993502" w:rsidP="00993502">
            <w:pPr>
              <w:jc w:val="right"/>
              <w:rPr>
                <w:rFonts w:ascii="Arial" w:hAnsi="Arial"/>
                <w:sz w:val="28"/>
                <w:szCs w:val="28"/>
              </w:rPr>
            </w:pPr>
            <w:r w:rsidRPr="00993502">
              <w:rPr>
                <w:rFonts w:ascii="Arial" w:hAnsi="Arial"/>
                <w:sz w:val="28"/>
                <w:szCs w:val="28"/>
              </w:rPr>
              <w:t>Issued on</w:t>
            </w:r>
          </w:p>
        </w:tc>
        <w:tc>
          <w:tcPr>
            <w:tcW w:w="5921" w:type="dxa"/>
          </w:tcPr>
          <w:p w:rsidR="00993502" w:rsidRPr="00993502" w:rsidRDefault="00171AEF" w:rsidP="00993502">
            <w:pPr>
              <w:jc w:val="left"/>
              <w:rPr>
                <w:rFonts w:ascii="Arial" w:hAnsi="Arial"/>
                <w:sz w:val="28"/>
                <w:szCs w:val="28"/>
              </w:rPr>
            </w:pPr>
            <w:r>
              <w:rPr>
                <w:rFonts w:ascii="Arial" w:hAnsi="Arial"/>
                <w:sz w:val="28"/>
                <w:szCs w:val="28"/>
              </w:rPr>
              <w:t>07</w:t>
            </w:r>
            <w:r w:rsidR="00E56818">
              <w:rPr>
                <w:rFonts w:ascii="Arial" w:hAnsi="Arial"/>
                <w:sz w:val="28"/>
                <w:szCs w:val="28"/>
              </w:rPr>
              <w:t>/10/2022</w:t>
            </w:r>
          </w:p>
        </w:tc>
      </w:tr>
    </w:tbl>
    <w:p w:rsidR="00993502" w:rsidRDefault="00993502" w:rsidP="00993502">
      <w:pPr>
        <w:rPr>
          <w:rFonts w:ascii="Arial" w:hAnsi="Arial"/>
          <w:b/>
          <w:sz w:val="28"/>
        </w:rPr>
      </w:pPr>
    </w:p>
    <w:p w:rsidR="00E56818" w:rsidRDefault="00E56818" w:rsidP="00993502">
      <w:pPr>
        <w:rPr>
          <w:rFonts w:ascii="Arial" w:hAnsi="Arial"/>
          <w:b/>
          <w:sz w:val="28"/>
        </w:rPr>
      </w:pPr>
    </w:p>
    <w:p w:rsidR="00E56818" w:rsidRPr="00E56818" w:rsidRDefault="00E56818" w:rsidP="00E56818">
      <w:pPr>
        <w:tabs>
          <w:tab w:val="left" w:pos="-720"/>
        </w:tabs>
        <w:suppressAutoHyphens/>
        <w:jc w:val="center"/>
        <w:rPr>
          <w:rFonts w:ascii="Arial" w:hAnsi="Arial"/>
          <w:b/>
          <w:spacing w:val="-3"/>
        </w:rPr>
      </w:pPr>
      <w:r w:rsidRPr="00E56818">
        <w:rPr>
          <w:rFonts w:ascii="Arial" w:hAnsi="Arial"/>
          <w:b/>
          <w:spacing w:val="-3"/>
        </w:rPr>
        <w:t xml:space="preserve">This handbook is intended to provide users of LMH services with information required to select and request tests, collect, label and transport samples and to request or view reports and to obtain further information or help in interpreting results. It is published via web sites as a printable Portable Document Format file and is updated periodically (typically every 6 – 12 months). Service users should be aware that copies that they print or distribute may become outdated, so they are advised to check the web site periodically. If you wish to be informed when a new edition is published, please contact the LMH Manager or Quality Manager. </w:t>
      </w:r>
    </w:p>
    <w:p w:rsidR="00E56818" w:rsidRPr="00993502" w:rsidRDefault="00E56818" w:rsidP="00993502">
      <w:pPr>
        <w:rPr>
          <w:rFonts w:ascii="Arial" w:hAnsi="Arial"/>
          <w:b/>
          <w:sz w:val="28"/>
        </w:rPr>
      </w:pPr>
    </w:p>
    <w:p w:rsidR="00993502" w:rsidRPr="00993502" w:rsidRDefault="00993502" w:rsidP="00993502">
      <w:pPr>
        <w:spacing w:after="0"/>
        <w:jc w:val="left"/>
        <w:rPr>
          <w:rFonts w:ascii="Arial" w:hAnsi="Arial"/>
        </w:rPr>
      </w:pPr>
      <w:r w:rsidRPr="00993502">
        <w:rPr>
          <w:rFonts w:ascii="Arial" w:hAnsi="Arial"/>
          <w:b/>
          <w:sz w:val="28"/>
        </w:rPr>
        <w:br w:type="page"/>
      </w:r>
    </w:p>
    <w:p w:rsidR="00E56818" w:rsidRDefault="00E56818" w:rsidP="00993502">
      <w:pPr>
        <w:keepNext/>
        <w:keepLines/>
        <w:spacing w:before="480" w:after="0" w:line="276" w:lineRule="auto"/>
        <w:jc w:val="left"/>
        <w:rPr>
          <w:rFonts w:ascii="Arial" w:hAnsi="Arial"/>
          <w:b/>
          <w:color w:val="auto"/>
          <w:sz w:val="28"/>
        </w:rPr>
      </w:pPr>
    </w:p>
    <w:p w:rsidR="00E56818" w:rsidRPr="00E56818" w:rsidRDefault="00E56818" w:rsidP="00E56818">
      <w:pPr>
        <w:pStyle w:val="TOCHeading"/>
        <w:rPr>
          <w:rFonts w:ascii="Arial" w:hAnsi="Arial" w:cs="Arial"/>
          <w:bCs w:val="0"/>
          <w:color w:val="000000"/>
          <w:szCs w:val="24"/>
          <w:lang w:val="en-GB" w:eastAsia="en-US"/>
        </w:rPr>
      </w:pPr>
      <w:r w:rsidRPr="00E56818">
        <w:rPr>
          <w:rFonts w:ascii="Arial" w:hAnsi="Arial" w:cs="Arial"/>
          <w:bCs w:val="0"/>
          <w:color w:val="000000"/>
          <w:szCs w:val="24"/>
          <w:lang w:val="en-GB" w:eastAsia="en-US"/>
        </w:rPr>
        <w:t>Contents</w:t>
      </w:r>
    </w:p>
    <w:p w:rsidR="00A967C0" w:rsidRDefault="00E56818">
      <w:pPr>
        <w:pStyle w:val="TOC1"/>
        <w:rPr>
          <w:rFonts w:asciiTheme="minorHAnsi" w:eastAsiaTheme="minorEastAsia" w:hAnsiTheme="minorHAnsi" w:cstheme="minorBidi"/>
          <w:b w:val="0"/>
          <w:noProof/>
          <w:color w:val="auto"/>
          <w:szCs w:val="22"/>
          <w:lang w:eastAsia="en-GB"/>
        </w:rPr>
      </w:pPr>
      <w:r w:rsidRPr="00E56818">
        <w:rPr>
          <w:rFonts w:ascii="Arial" w:hAnsi="Arial"/>
          <w:b w:val="0"/>
          <w:bCs/>
          <w:noProof/>
          <w:spacing w:val="-3"/>
          <w:sz w:val="24"/>
        </w:rPr>
        <w:fldChar w:fldCharType="begin"/>
      </w:r>
      <w:r w:rsidRPr="00E56818">
        <w:rPr>
          <w:rFonts w:ascii="Arial" w:hAnsi="Arial"/>
          <w:spacing w:val="-3"/>
          <w:sz w:val="24"/>
        </w:rPr>
        <w:instrText xml:space="preserve"> TOC \o "1-2" \h \z \u </w:instrText>
      </w:r>
      <w:r w:rsidRPr="00E56818">
        <w:rPr>
          <w:rFonts w:ascii="Arial" w:hAnsi="Arial"/>
          <w:b w:val="0"/>
          <w:bCs/>
          <w:noProof/>
          <w:spacing w:val="-3"/>
          <w:sz w:val="24"/>
        </w:rPr>
        <w:fldChar w:fldCharType="separate"/>
      </w:r>
      <w:hyperlink w:anchor="_Toc114849209" w:history="1">
        <w:r w:rsidR="00A967C0" w:rsidRPr="00622F46">
          <w:rPr>
            <w:rStyle w:val="Hyperlink"/>
            <w:bCs/>
            <w:noProof/>
          </w:rPr>
          <w:t>1.</w:t>
        </w:r>
        <w:r w:rsidR="00A967C0">
          <w:rPr>
            <w:rFonts w:asciiTheme="minorHAnsi" w:eastAsiaTheme="minorEastAsia" w:hAnsiTheme="minorHAnsi" w:cstheme="minorBidi"/>
            <w:b w:val="0"/>
            <w:noProof/>
            <w:color w:val="auto"/>
            <w:szCs w:val="22"/>
            <w:lang w:eastAsia="en-GB"/>
          </w:rPr>
          <w:tab/>
        </w:r>
        <w:r w:rsidR="00A967C0" w:rsidRPr="00622F46">
          <w:rPr>
            <w:rStyle w:val="Hyperlink"/>
            <w:bCs/>
            <w:noProof/>
          </w:rPr>
          <w:t>General Information.</w:t>
        </w:r>
        <w:r w:rsidR="00A967C0">
          <w:rPr>
            <w:noProof/>
            <w:webHidden/>
          </w:rPr>
          <w:tab/>
        </w:r>
        <w:r w:rsidR="00A967C0">
          <w:rPr>
            <w:noProof/>
            <w:webHidden/>
          </w:rPr>
          <w:fldChar w:fldCharType="begin"/>
        </w:r>
        <w:r w:rsidR="00A967C0">
          <w:rPr>
            <w:noProof/>
            <w:webHidden/>
          </w:rPr>
          <w:instrText xml:space="preserve"> PAGEREF _Toc114849209 \h </w:instrText>
        </w:r>
        <w:r w:rsidR="00A967C0">
          <w:rPr>
            <w:noProof/>
            <w:webHidden/>
          </w:rPr>
        </w:r>
        <w:r w:rsidR="00A967C0">
          <w:rPr>
            <w:noProof/>
            <w:webHidden/>
          </w:rPr>
          <w:fldChar w:fldCharType="separate"/>
        </w:r>
        <w:r w:rsidR="00A967C0">
          <w:rPr>
            <w:noProof/>
            <w:webHidden/>
          </w:rPr>
          <w:t>4</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10" w:history="1">
        <w:r w:rsidR="00A967C0" w:rsidRPr="00622F46">
          <w:rPr>
            <w:rStyle w:val="Hyperlink"/>
            <w:noProof/>
          </w:rPr>
          <w:t>1.1</w:t>
        </w:r>
        <w:r w:rsidR="00A967C0">
          <w:rPr>
            <w:rFonts w:asciiTheme="minorHAnsi" w:eastAsiaTheme="minorEastAsia" w:hAnsiTheme="minorHAnsi" w:cstheme="minorBidi"/>
            <w:noProof/>
            <w:color w:val="auto"/>
            <w:szCs w:val="22"/>
            <w:lang w:eastAsia="en-GB"/>
          </w:rPr>
          <w:tab/>
        </w:r>
        <w:r w:rsidR="00A967C0" w:rsidRPr="00622F46">
          <w:rPr>
            <w:rStyle w:val="Hyperlink"/>
            <w:noProof/>
          </w:rPr>
          <w:t>SE-HMDS Laboratory for Molecular Haemato-Oncology (LMH) overview</w:t>
        </w:r>
        <w:r w:rsidR="00A967C0">
          <w:rPr>
            <w:noProof/>
            <w:webHidden/>
          </w:rPr>
          <w:tab/>
        </w:r>
        <w:r w:rsidR="00A967C0">
          <w:rPr>
            <w:noProof/>
            <w:webHidden/>
          </w:rPr>
          <w:fldChar w:fldCharType="begin"/>
        </w:r>
        <w:r w:rsidR="00A967C0">
          <w:rPr>
            <w:noProof/>
            <w:webHidden/>
          </w:rPr>
          <w:instrText xml:space="preserve"> PAGEREF _Toc114849210 \h </w:instrText>
        </w:r>
        <w:r w:rsidR="00A967C0">
          <w:rPr>
            <w:noProof/>
            <w:webHidden/>
          </w:rPr>
        </w:r>
        <w:r w:rsidR="00A967C0">
          <w:rPr>
            <w:noProof/>
            <w:webHidden/>
          </w:rPr>
          <w:fldChar w:fldCharType="separate"/>
        </w:r>
        <w:r w:rsidR="00A967C0">
          <w:rPr>
            <w:noProof/>
            <w:webHidden/>
          </w:rPr>
          <w:t>4</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11" w:history="1">
        <w:r w:rsidR="00A967C0" w:rsidRPr="00622F46">
          <w:rPr>
            <w:rStyle w:val="Hyperlink"/>
            <w:noProof/>
          </w:rPr>
          <w:t>1.2</w:t>
        </w:r>
        <w:r w:rsidR="00A967C0">
          <w:rPr>
            <w:rFonts w:asciiTheme="minorHAnsi" w:eastAsiaTheme="minorEastAsia" w:hAnsiTheme="minorHAnsi" w:cstheme="minorBidi"/>
            <w:noProof/>
            <w:color w:val="auto"/>
            <w:szCs w:val="22"/>
            <w:lang w:eastAsia="en-GB"/>
          </w:rPr>
          <w:tab/>
        </w:r>
        <w:r w:rsidR="00A967C0" w:rsidRPr="00622F46">
          <w:rPr>
            <w:rStyle w:val="Hyperlink"/>
            <w:noProof/>
          </w:rPr>
          <w:t>Where to find LMH</w:t>
        </w:r>
        <w:r w:rsidR="00A967C0">
          <w:rPr>
            <w:noProof/>
            <w:webHidden/>
          </w:rPr>
          <w:tab/>
        </w:r>
        <w:r w:rsidR="00A967C0">
          <w:rPr>
            <w:noProof/>
            <w:webHidden/>
          </w:rPr>
          <w:fldChar w:fldCharType="begin"/>
        </w:r>
        <w:r w:rsidR="00A967C0">
          <w:rPr>
            <w:noProof/>
            <w:webHidden/>
          </w:rPr>
          <w:instrText xml:space="preserve"> PAGEREF _Toc114849211 \h </w:instrText>
        </w:r>
        <w:r w:rsidR="00A967C0">
          <w:rPr>
            <w:noProof/>
            <w:webHidden/>
          </w:rPr>
        </w:r>
        <w:r w:rsidR="00A967C0">
          <w:rPr>
            <w:noProof/>
            <w:webHidden/>
          </w:rPr>
          <w:fldChar w:fldCharType="separate"/>
        </w:r>
        <w:r w:rsidR="00A967C0">
          <w:rPr>
            <w:noProof/>
            <w:webHidden/>
          </w:rPr>
          <w:t>5</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12" w:history="1">
        <w:r w:rsidR="00A967C0" w:rsidRPr="00622F46">
          <w:rPr>
            <w:rStyle w:val="Hyperlink"/>
            <w:noProof/>
          </w:rPr>
          <w:t>1.3</w:t>
        </w:r>
        <w:r w:rsidR="00A967C0">
          <w:rPr>
            <w:rFonts w:asciiTheme="minorHAnsi" w:eastAsiaTheme="minorEastAsia" w:hAnsiTheme="minorHAnsi" w:cstheme="minorBidi"/>
            <w:noProof/>
            <w:color w:val="auto"/>
            <w:szCs w:val="22"/>
            <w:lang w:eastAsia="en-GB"/>
          </w:rPr>
          <w:tab/>
        </w:r>
        <w:r w:rsidR="00A967C0" w:rsidRPr="00622F46">
          <w:rPr>
            <w:rStyle w:val="Hyperlink"/>
            <w:noProof/>
          </w:rPr>
          <w:t>Key Personnel and Contact Details</w:t>
        </w:r>
        <w:r w:rsidR="00A967C0">
          <w:rPr>
            <w:noProof/>
            <w:webHidden/>
          </w:rPr>
          <w:tab/>
        </w:r>
        <w:r w:rsidR="00A967C0">
          <w:rPr>
            <w:noProof/>
            <w:webHidden/>
          </w:rPr>
          <w:fldChar w:fldCharType="begin"/>
        </w:r>
        <w:r w:rsidR="00A967C0">
          <w:rPr>
            <w:noProof/>
            <w:webHidden/>
          </w:rPr>
          <w:instrText xml:space="preserve"> PAGEREF _Toc114849212 \h </w:instrText>
        </w:r>
        <w:r w:rsidR="00A967C0">
          <w:rPr>
            <w:noProof/>
            <w:webHidden/>
          </w:rPr>
        </w:r>
        <w:r w:rsidR="00A967C0">
          <w:rPr>
            <w:noProof/>
            <w:webHidden/>
          </w:rPr>
          <w:fldChar w:fldCharType="separate"/>
        </w:r>
        <w:r w:rsidR="00A967C0">
          <w:rPr>
            <w:noProof/>
            <w:webHidden/>
          </w:rPr>
          <w:t>6</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13" w:history="1">
        <w:r w:rsidR="00A967C0" w:rsidRPr="00622F46">
          <w:rPr>
            <w:rStyle w:val="Hyperlink"/>
            <w:noProof/>
          </w:rPr>
          <w:t>1.4</w:t>
        </w:r>
        <w:r w:rsidR="00A967C0">
          <w:rPr>
            <w:rFonts w:asciiTheme="minorHAnsi" w:eastAsiaTheme="minorEastAsia" w:hAnsiTheme="minorHAnsi" w:cstheme="minorBidi"/>
            <w:noProof/>
            <w:color w:val="auto"/>
            <w:szCs w:val="22"/>
            <w:lang w:eastAsia="en-GB"/>
          </w:rPr>
          <w:tab/>
        </w:r>
        <w:r w:rsidR="00A967C0" w:rsidRPr="00622F46">
          <w:rPr>
            <w:rStyle w:val="Hyperlink"/>
            <w:noProof/>
          </w:rPr>
          <w:t>Laboratory Opening Times</w:t>
        </w:r>
        <w:r w:rsidR="00A967C0">
          <w:rPr>
            <w:noProof/>
            <w:webHidden/>
          </w:rPr>
          <w:tab/>
        </w:r>
        <w:r w:rsidR="00A967C0">
          <w:rPr>
            <w:noProof/>
            <w:webHidden/>
          </w:rPr>
          <w:fldChar w:fldCharType="begin"/>
        </w:r>
        <w:r w:rsidR="00A967C0">
          <w:rPr>
            <w:noProof/>
            <w:webHidden/>
          </w:rPr>
          <w:instrText xml:space="preserve"> PAGEREF _Toc114849213 \h </w:instrText>
        </w:r>
        <w:r w:rsidR="00A967C0">
          <w:rPr>
            <w:noProof/>
            <w:webHidden/>
          </w:rPr>
        </w:r>
        <w:r w:rsidR="00A967C0">
          <w:rPr>
            <w:noProof/>
            <w:webHidden/>
          </w:rPr>
          <w:fldChar w:fldCharType="separate"/>
        </w:r>
        <w:r w:rsidR="00A967C0">
          <w:rPr>
            <w:noProof/>
            <w:webHidden/>
          </w:rPr>
          <w:t>6</w:t>
        </w:r>
        <w:r w:rsidR="00A967C0">
          <w:rPr>
            <w:noProof/>
            <w:webHidden/>
          </w:rPr>
          <w:fldChar w:fldCharType="end"/>
        </w:r>
      </w:hyperlink>
    </w:p>
    <w:p w:rsidR="00A967C0" w:rsidRDefault="00B54957">
      <w:pPr>
        <w:pStyle w:val="TOC1"/>
        <w:rPr>
          <w:rFonts w:asciiTheme="minorHAnsi" w:eastAsiaTheme="minorEastAsia" w:hAnsiTheme="minorHAnsi" w:cstheme="minorBidi"/>
          <w:b w:val="0"/>
          <w:noProof/>
          <w:color w:val="auto"/>
          <w:szCs w:val="22"/>
          <w:lang w:eastAsia="en-GB"/>
        </w:rPr>
      </w:pPr>
      <w:hyperlink w:anchor="_Toc114849214" w:history="1">
        <w:r w:rsidR="00A967C0" w:rsidRPr="00622F46">
          <w:rPr>
            <w:rStyle w:val="Hyperlink"/>
            <w:bCs/>
            <w:noProof/>
          </w:rPr>
          <w:t>2.</w:t>
        </w:r>
        <w:r w:rsidR="00A967C0">
          <w:rPr>
            <w:rFonts w:asciiTheme="minorHAnsi" w:eastAsiaTheme="minorEastAsia" w:hAnsiTheme="minorHAnsi" w:cstheme="minorBidi"/>
            <w:b w:val="0"/>
            <w:noProof/>
            <w:color w:val="auto"/>
            <w:szCs w:val="22"/>
            <w:lang w:eastAsia="en-GB"/>
          </w:rPr>
          <w:tab/>
        </w:r>
        <w:r w:rsidR="00A967C0" w:rsidRPr="00622F46">
          <w:rPr>
            <w:rStyle w:val="Hyperlink"/>
            <w:bCs/>
            <w:noProof/>
          </w:rPr>
          <w:t>Use of the Laboratory</w:t>
        </w:r>
        <w:r w:rsidR="00A967C0">
          <w:rPr>
            <w:noProof/>
            <w:webHidden/>
          </w:rPr>
          <w:tab/>
        </w:r>
        <w:r w:rsidR="00A967C0">
          <w:rPr>
            <w:noProof/>
            <w:webHidden/>
          </w:rPr>
          <w:fldChar w:fldCharType="begin"/>
        </w:r>
        <w:r w:rsidR="00A967C0">
          <w:rPr>
            <w:noProof/>
            <w:webHidden/>
          </w:rPr>
          <w:instrText xml:space="preserve"> PAGEREF _Toc114849214 \h </w:instrText>
        </w:r>
        <w:r w:rsidR="00A967C0">
          <w:rPr>
            <w:noProof/>
            <w:webHidden/>
          </w:rPr>
        </w:r>
        <w:r w:rsidR="00A967C0">
          <w:rPr>
            <w:noProof/>
            <w:webHidden/>
          </w:rPr>
          <w:fldChar w:fldCharType="separate"/>
        </w:r>
        <w:r w:rsidR="00A967C0">
          <w:rPr>
            <w:noProof/>
            <w:webHidden/>
          </w:rPr>
          <w:t>7</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15" w:history="1">
        <w:r w:rsidR="00A967C0" w:rsidRPr="00622F46">
          <w:rPr>
            <w:rStyle w:val="Hyperlink"/>
            <w:noProof/>
          </w:rPr>
          <w:t>2.1</w:t>
        </w:r>
        <w:r w:rsidR="00A967C0">
          <w:rPr>
            <w:rFonts w:asciiTheme="minorHAnsi" w:eastAsiaTheme="minorEastAsia" w:hAnsiTheme="minorHAnsi" w:cstheme="minorBidi"/>
            <w:noProof/>
            <w:color w:val="auto"/>
            <w:szCs w:val="22"/>
            <w:lang w:eastAsia="en-GB"/>
          </w:rPr>
          <w:tab/>
        </w:r>
        <w:r w:rsidR="00A967C0" w:rsidRPr="00622F46">
          <w:rPr>
            <w:rStyle w:val="Hyperlink"/>
            <w:noProof/>
          </w:rPr>
          <w:t>Test Requesting Procedure (routine, urgent and out of hours)</w:t>
        </w:r>
        <w:r w:rsidR="00A967C0">
          <w:rPr>
            <w:noProof/>
            <w:webHidden/>
          </w:rPr>
          <w:tab/>
        </w:r>
        <w:r w:rsidR="00A967C0">
          <w:rPr>
            <w:noProof/>
            <w:webHidden/>
          </w:rPr>
          <w:fldChar w:fldCharType="begin"/>
        </w:r>
        <w:r w:rsidR="00A967C0">
          <w:rPr>
            <w:noProof/>
            <w:webHidden/>
          </w:rPr>
          <w:instrText xml:space="preserve"> PAGEREF _Toc114849215 \h </w:instrText>
        </w:r>
        <w:r w:rsidR="00A967C0">
          <w:rPr>
            <w:noProof/>
            <w:webHidden/>
          </w:rPr>
        </w:r>
        <w:r w:rsidR="00A967C0">
          <w:rPr>
            <w:noProof/>
            <w:webHidden/>
          </w:rPr>
          <w:fldChar w:fldCharType="separate"/>
        </w:r>
        <w:r w:rsidR="00A967C0">
          <w:rPr>
            <w:noProof/>
            <w:webHidden/>
          </w:rPr>
          <w:t>7</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16" w:history="1">
        <w:r w:rsidR="00A967C0" w:rsidRPr="00622F46">
          <w:rPr>
            <w:rStyle w:val="Hyperlink"/>
            <w:noProof/>
          </w:rPr>
          <w:t>2.2</w:t>
        </w:r>
        <w:r w:rsidR="00A967C0">
          <w:rPr>
            <w:rFonts w:asciiTheme="minorHAnsi" w:eastAsiaTheme="minorEastAsia" w:hAnsiTheme="minorHAnsi" w:cstheme="minorBidi"/>
            <w:noProof/>
            <w:color w:val="auto"/>
            <w:szCs w:val="22"/>
            <w:lang w:eastAsia="en-GB"/>
          </w:rPr>
          <w:tab/>
        </w:r>
        <w:r w:rsidR="00A967C0" w:rsidRPr="00622F46">
          <w:rPr>
            <w:rStyle w:val="Hyperlink"/>
            <w:noProof/>
          </w:rPr>
          <w:t>Requesting Additional Tests</w:t>
        </w:r>
        <w:r w:rsidR="00A967C0">
          <w:rPr>
            <w:noProof/>
            <w:webHidden/>
          </w:rPr>
          <w:tab/>
        </w:r>
        <w:r w:rsidR="00A967C0">
          <w:rPr>
            <w:noProof/>
            <w:webHidden/>
          </w:rPr>
          <w:fldChar w:fldCharType="begin"/>
        </w:r>
        <w:r w:rsidR="00A967C0">
          <w:rPr>
            <w:noProof/>
            <w:webHidden/>
          </w:rPr>
          <w:instrText xml:space="preserve"> PAGEREF _Toc114849216 \h </w:instrText>
        </w:r>
        <w:r w:rsidR="00A967C0">
          <w:rPr>
            <w:noProof/>
            <w:webHidden/>
          </w:rPr>
        </w:r>
        <w:r w:rsidR="00A967C0">
          <w:rPr>
            <w:noProof/>
            <w:webHidden/>
          </w:rPr>
          <w:fldChar w:fldCharType="separate"/>
        </w:r>
        <w:r w:rsidR="00A967C0">
          <w:rPr>
            <w:noProof/>
            <w:webHidden/>
          </w:rPr>
          <w:t>7</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17" w:history="1">
        <w:r w:rsidR="00A967C0" w:rsidRPr="00622F46">
          <w:rPr>
            <w:rStyle w:val="Hyperlink"/>
            <w:noProof/>
          </w:rPr>
          <w:t>2.3</w:t>
        </w:r>
        <w:r w:rsidR="00A967C0">
          <w:rPr>
            <w:rFonts w:asciiTheme="minorHAnsi" w:eastAsiaTheme="minorEastAsia" w:hAnsiTheme="minorHAnsi" w:cstheme="minorBidi"/>
            <w:noProof/>
            <w:color w:val="auto"/>
            <w:szCs w:val="22"/>
            <w:lang w:eastAsia="en-GB"/>
          </w:rPr>
          <w:tab/>
        </w:r>
        <w:r w:rsidR="00A967C0" w:rsidRPr="00622F46">
          <w:rPr>
            <w:rStyle w:val="Hyperlink"/>
            <w:noProof/>
          </w:rPr>
          <w:t>Completing the Request Form</w:t>
        </w:r>
        <w:r w:rsidR="00A967C0">
          <w:rPr>
            <w:noProof/>
            <w:webHidden/>
          </w:rPr>
          <w:tab/>
        </w:r>
        <w:r w:rsidR="00A967C0">
          <w:rPr>
            <w:noProof/>
            <w:webHidden/>
          </w:rPr>
          <w:fldChar w:fldCharType="begin"/>
        </w:r>
        <w:r w:rsidR="00A967C0">
          <w:rPr>
            <w:noProof/>
            <w:webHidden/>
          </w:rPr>
          <w:instrText xml:space="preserve"> PAGEREF _Toc114849217 \h </w:instrText>
        </w:r>
        <w:r w:rsidR="00A967C0">
          <w:rPr>
            <w:noProof/>
            <w:webHidden/>
          </w:rPr>
        </w:r>
        <w:r w:rsidR="00A967C0">
          <w:rPr>
            <w:noProof/>
            <w:webHidden/>
          </w:rPr>
          <w:fldChar w:fldCharType="separate"/>
        </w:r>
        <w:r w:rsidR="00A967C0">
          <w:rPr>
            <w:noProof/>
            <w:webHidden/>
          </w:rPr>
          <w:t>7</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18" w:history="1">
        <w:r w:rsidR="00A967C0" w:rsidRPr="00622F46">
          <w:rPr>
            <w:rStyle w:val="Hyperlink"/>
            <w:noProof/>
          </w:rPr>
          <w:t>2.4</w:t>
        </w:r>
        <w:r w:rsidR="00A967C0">
          <w:rPr>
            <w:rFonts w:asciiTheme="minorHAnsi" w:eastAsiaTheme="minorEastAsia" w:hAnsiTheme="minorHAnsi" w:cstheme="minorBidi"/>
            <w:noProof/>
            <w:color w:val="auto"/>
            <w:szCs w:val="22"/>
            <w:lang w:eastAsia="en-GB"/>
          </w:rPr>
          <w:tab/>
        </w:r>
        <w:r w:rsidR="00A967C0" w:rsidRPr="00622F46">
          <w:rPr>
            <w:rStyle w:val="Hyperlink"/>
            <w:noProof/>
          </w:rPr>
          <w:t>Specimen Labelling</w:t>
        </w:r>
        <w:r w:rsidR="00A967C0">
          <w:rPr>
            <w:noProof/>
            <w:webHidden/>
          </w:rPr>
          <w:tab/>
        </w:r>
        <w:r w:rsidR="00A967C0">
          <w:rPr>
            <w:noProof/>
            <w:webHidden/>
          </w:rPr>
          <w:fldChar w:fldCharType="begin"/>
        </w:r>
        <w:r w:rsidR="00A967C0">
          <w:rPr>
            <w:noProof/>
            <w:webHidden/>
          </w:rPr>
          <w:instrText xml:space="preserve"> PAGEREF _Toc114849218 \h </w:instrText>
        </w:r>
        <w:r w:rsidR="00A967C0">
          <w:rPr>
            <w:noProof/>
            <w:webHidden/>
          </w:rPr>
        </w:r>
        <w:r w:rsidR="00A967C0">
          <w:rPr>
            <w:noProof/>
            <w:webHidden/>
          </w:rPr>
          <w:fldChar w:fldCharType="separate"/>
        </w:r>
        <w:r w:rsidR="00A967C0">
          <w:rPr>
            <w:noProof/>
            <w:webHidden/>
          </w:rPr>
          <w:t>8</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19" w:history="1">
        <w:r w:rsidR="00A967C0" w:rsidRPr="00622F46">
          <w:rPr>
            <w:rStyle w:val="Hyperlink"/>
            <w:noProof/>
          </w:rPr>
          <w:t>2.5</w:t>
        </w:r>
        <w:r w:rsidR="00A967C0">
          <w:rPr>
            <w:rFonts w:asciiTheme="minorHAnsi" w:eastAsiaTheme="minorEastAsia" w:hAnsiTheme="minorHAnsi" w:cstheme="minorBidi"/>
            <w:noProof/>
            <w:color w:val="auto"/>
            <w:szCs w:val="22"/>
            <w:lang w:eastAsia="en-GB"/>
          </w:rPr>
          <w:tab/>
        </w:r>
        <w:r w:rsidR="00A967C0" w:rsidRPr="00622F46">
          <w:rPr>
            <w:rStyle w:val="Hyperlink"/>
            <w:noProof/>
          </w:rPr>
          <w:t>Specimen Collection</w:t>
        </w:r>
        <w:r w:rsidR="00A967C0">
          <w:rPr>
            <w:noProof/>
            <w:webHidden/>
          </w:rPr>
          <w:tab/>
        </w:r>
        <w:r w:rsidR="00A967C0">
          <w:rPr>
            <w:noProof/>
            <w:webHidden/>
          </w:rPr>
          <w:fldChar w:fldCharType="begin"/>
        </w:r>
        <w:r w:rsidR="00A967C0">
          <w:rPr>
            <w:noProof/>
            <w:webHidden/>
          </w:rPr>
          <w:instrText xml:space="preserve"> PAGEREF _Toc114849219 \h </w:instrText>
        </w:r>
        <w:r w:rsidR="00A967C0">
          <w:rPr>
            <w:noProof/>
            <w:webHidden/>
          </w:rPr>
        </w:r>
        <w:r w:rsidR="00A967C0">
          <w:rPr>
            <w:noProof/>
            <w:webHidden/>
          </w:rPr>
          <w:fldChar w:fldCharType="separate"/>
        </w:r>
        <w:r w:rsidR="00A967C0">
          <w:rPr>
            <w:noProof/>
            <w:webHidden/>
          </w:rPr>
          <w:t>8</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20" w:history="1">
        <w:r w:rsidR="00A967C0" w:rsidRPr="00622F46">
          <w:rPr>
            <w:rStyle w:val="Hyperlink"/>
            <w:noProof/>
          </w:rPr>
          <w:t>2.6</w:t>
        </w:r>
        <w:r w:rsidR="00A967C0">
          <w:rPr>
            <w:rFonts w:asciiTheme="minorHAnsi" w:eastAsiaTheme="minorEastAsia" w:hAnsiTheme="minorHAnsi" w:cstheme="minorBidi"/>
            <w:noProof/>
            <w:color w:val="auto"/>
            <w:szCs w:val="22"/>
            <w:lang w:eastAsia="en-GB"/>
          </w:rPr>
          <w:tab/>
        </w:r>
        <w:r w:rsidR="00A967C0" w:rsidRPr="00622F46">
          <w:rPr>
            <w:rStyle w:val="Hyperlink"/>
            <w:noProof/>
          </w:rPr>
          <w:t>Specimen Limitations Affecting Assay Performance</w:t>
        </w:r>
        <w:r w:rsidR="00A967C0">
          <w:rPr>
            <w:noProof/>
            <w:webHidden/>
          </w:rPr>
          <w:tab/>
        </w:r>
        <w:r w:rsidR="00A967C0">
          <w:rPr>
            <w:noProof/>
            <w:webHidden/>
          </w:rPr>
          <w:fldChar w:fldCharType="begin"/>
        </w:r>
        <w:r w:rsidR="00A967C0">
          <w:rPr>
            <w:noProof/>
            <w:webHidden/>
          </w:rPr>
          <w:instrText xml:space="preserve"> PAGEREF _Toc114849220 \h </w:instrText>
        </w:r>
        <w:r w:rsidR="00A967C0">
          <w:rPr>
            <w:noProof/>
            <w:webHidden/>
          </w:rPr>
        </w:r>
        <w:r w:rsidR="00A967C0">
          <w:rPr>
            <w:noProof/>
            <w:webHidden/>
          </w:rPr>
          <w:fldChar w:fldCharType="separate"/>
        </w:r>
        <w:r w:rsidR="00A967C0">
          <w:rPr>
            <w:noProof/>
            <w:webHidden/>
          </w:rPr>
          <w:t>9</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21" w:history="1">
        <w:r w:rsidR="00A967C0" w:rsidRPr="00622F46">
          <w:rPr>
            <w:rStyle w:val="Hyperlink"/>
            <w:noProof/>
          </w:rPr>
          <w:t>2.7</w:t>
        </w:r>
        <w:r w:rsidR="00A967C0">
          <w:rPr>
            <w:rFonts w:asciiTheme="minorHAnsi" w:eastAsiaTheme="minorEastAsia" w:hAnsiTheme="minorHAnsi" w:cstheme="minorBidi"/>
            <w:noProof/>
            <w:color w:val="auto"/>
            <w:szCs w:val="22"/>
            <w:lang w:eastAsia="en-GB"/>
          </w:rPr>
          <w:tab/>
        </w:r>
        <w:r w:rsidR="00A967C0" w:rsidRPr="00622F46">
          <w:rPr>
            <w:rStyle w:val="Hyperlink"/>
            <w:noProof/>
          </w:rPr>
          <w:t>Transport and packaging of Specimens (External Customers)</w:t>
        </w:r>
        <w:r w:rsidR="00A967C0">
          <w:rPr>
            <w:noProof/>
            <w:webHidden/>
          </w:rPr>
          <w:tab/>
        </w:r>
        <w:r w:rsidR="00A967C0">
          <w:rPr>
            <w:noProof/>
            <w:webHidden/>
          </w:rPr>
          <w:fldChar w:fldCharType="begin"/>
        </w:r>
        <w:r w:rsidR="00A967C0">
          <w:rPr>
            <w:noProof/>
            <w:webHidden/>
          </w:rPr>
          <w:instrText xml:space="preserve"> PAGEREF _Toc114849221 \h </w:instrText>
        </w:r>
        <w:r w:rsidR="00A967C0">
          <w:rPr>
            <w:noProof/>
            <w:webHidden/>
          </w:rPr>
        </w:r>
        <w:r w:rsidR="00A967C0">
          <w:rPr>
            <w:noProof/>
            <w:webHidden/>
          </w:rPr>
          <w:fldChar w:fldCharType="separate"/>
        </w:r>
        <w:r w:rsidR="00A967C0">
          <w:rPr>
            <w:noProof/>
            <w:webHidden/>
          </w:rPr>
          <w:t>9</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22" w:history="1">
        <w:r w:rsidR="00A967C0" w:rsidRPr="00622F46">
          <w:rPr>
            <w:rStyle w:val="Hyperlink"/>
            <w:noProof/>
          </w:rPr>
          <w:t>2.8</w:t>
        </w:r>
        <w:r w:rsidR="00A967C0">
          <w:rPr>
            <w:rFonts w:asciiTheme="minorHAnsi" w:eastAsiaTheme="minorEastAsia" w:hAnsiTheme="minorHAnsi" w:cstheme="minorBidi"/>
            <w:noProof/>
            <w:color w:val="auto"/>
            <w:szCs w:val="22"/>
            <w:lang w:eastAsia="en-GB"/>
          </w:rPr>
          <w:tab/>
        </w:r>
        <w:r w:rsidR="00A967C0" w:rsidRPr="00622F46">
          <w:rPr>
            <w:rStyle w:val="Hyperlink"/>
            <w:noProof/>
          </w:rPr>
          <w:t>Transport and packaging of specimens (internal customers)</w:t>
        </w:r>
        <w:r w:rsidR="00A967C0">
          <w:rPr>
            <w:noProof/>
            <w:webHidden/>
          </w:rPr>
          <w:tab/>
        </w:r>
        <w:r w:rsidR="00A967C0">
          <w:rPr>
            <w:noProof/>
            <w:webHidden/>
          </w:rPr>
          <w:fldChar w:fldCharType="begin"/>
        </w:r>
        <w:r w:rsidR="00A967C0">
          <w:rPr>
            <w:noProof/>
            <w:webHidden/>
          </w:rPr>
          <w:instrText xml:space="preserve"> PAGEREF _Toc114849222 \h </w:instrText>
        </w:r>
        <w:r w:rsidR="00A967C0">
          <w:rPr>
            <w:noProof/>
            <w:webHidden/>
          </w:rPr>
        </w:r>
        <w:r w:rsidR="00A967C0">
          <w:rPr>
            <w:noProof/>
            <w:webHidden/>
          </w:rPr>
          <w:fldChar w:fldCharType="separate"/>
        </w:r>
        <w:r w:rsidR="00A967C0">
          <w:rPr>
            <w:noProof/>
            <w:webHidden/>
          </w:rPr>
          <w:t>9</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23" w:history="1">
        <w:r w:rsidR="00A967C0" w:rsidRPr="00622F46">
          <w:rPr>
            <w:rStyle w:val="Hyperlink"/>
            <w:noProof/>
          </w:rPr>
          <w:t>2.9</w:t>
        </w:r>
        <w:r w:rsidR="00A967C0">
          <w:rPr>
            <w:rFonts w:asciiTheme="minorHAnsi" w:eastAsiaTheme="minorEastAsia" w:hAnsiTheme="minorHAnsi" w:cstheme="minorBidi"/>
            <w:noProof/>
            <w:color w:val="auto"/>
            <w:szCs w:val="22"/>
            <w:lang w:eastAsia="en-GB"/>
          </w:rPr>
          <w:tab/>
        </w:r>
        <w:r w:rsidR="00A967C0" w:rsidRPr="00622F46">
          <w:rPr>
            <w:rStyle w:val="Hyperlink"/>
            <w:noProof/>
          </w:rPr>
          <w:t>High Risk Specimens and Safety</w:t>
        </w:r>
        <w:r w:rsidR="00A967C0">
          <w:rPr>
            <w:noProof/>
            <w:webHidden/>
          </w:rPr>
          <w:tab/>
        </w:r>
        <w:r w:rsidR="00A967C0">
          <w:rPr>
            <w:noProof/>
            <w:webHidden/>
          </w:rPr>
          <w:fldChar w:fldCharType="begin"/>
        </w:r>
        <w:r w:rsidR="00A967C0">
          <w:rPr>
            <w:noProof/>
            <w:webHidden/>
          </w:rPr>
          <w:instrText xml:space="preserve"> PAGEREF _Toc114849223 \h </w:instrText>
        </w:r>
        <w:r w:rsidR="00A967C0">
          <w:rPr>
            <w:noProof/>
            <w:webHidden/>
          </w:rPr>
        </w:r>
        <w:r w:rsidR="00A967C0">
          <w:rPr>
            <w:noProof/>
            <w:webHidden/>
          </w:rPr>
          <w:fldChar w:fldCharType="separate"/>
        </w:r>
        <w:r w:rsidR="00A967C0">
          <w:rPr>
            <w:noProof/>
            <w:webHidden/>
          </w:rPr>
          <w:t>9</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24" w:history="1">
        <w:r w:rsidR="00A967C0" w:rsidRPr="00622F46">
          <w:rPr>
            <w:rStyle w:val="Hyperlink"/>
            <w:noProof/>
          </w:rPr>
          <w:t>2.10</w:t>
        </w:r>
        <w:r w:rsidR="00A967C0">
          <w:rPr>
            <w:rFonts w:asciiTheme="minorHAnsi" w:eastAsiaTheme="minorEastAsia" w:hAnsiTheme="minorHAnsi" w:cstheme="minorBidi"/>
            <w:noProof/>
            <w:color w:val="auto"/>
            <w:szCs w:val="22"/>
            <w:lang w:eastAsia="en-GB"/>
          </w:rPr>
          <w:tab/>
        </w:r>
        <w:r w:rsidR="00A967C0" w:rsidRPr="00622F46">
          <w:rPr>
            <w:rStyle w:val="Hyperlink"/>
            <w:noProof/>
          </w:rPr>
          <w:t>Result Availability</w:t>
        </w:r>
        <w:r w:rsidR="00A967C0">
          <w:rPr>
            <w:noProof/>
            <w:webHidden/>
          </w:rPr>
          <w:tab/>
        </w:r>
        <w:r w:rsidR="00A967C0">
          <w:rPr>
            <w:noProof/>
            <w:webHidden/>
          </w:rPr>
          <w:fldChar w:fldCharType="begin"/>
        </w:r>
        <w:r w:rsidR="00A967C0">
          <w:rPr>
            <w:noProof/>
            <w:webHidden/>
          </w:rPr>
          <w:instrText xml:space="preserve"> PAGEREF _Toc114849224 \h </w:instrText>
        </w:r>
        <w:r w:rsidR="00A967C0">
          <w:rPr>
            <w:noProof/>
            <w:webHidden/>
          </w:rPr>
        </w:r>
        <w:r w:rsidR="00A967C0">
          <w:rPr>
            <w:noProof/>
            <w:webHidden/>
          </w:rPr>
          <w:fldChar w:fldCharType="separate"/>
        </w:r>
        <w:r w:rsidR="00A967C0">
          <w:rPr>
            <w:noProof/>
            <w:webHidden/>
          </w:rPr>
          <w:t>10</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25" w:history="1">
        <w:r w:rsidR="00A967C0" w:rsidRPr="00622F46">
          <w:rPr>
            <w:rStyle w:val="Hyperlink"/>
            <w:noProof/>
          </w:rPr>
          <w:t>2.11</w:t>
        </w:r>
        <w:r w:rsidR="00A967C0">
          <w:rPr>
            <w:rFonts w:asciiTheme="minorHAnsi" w:eastAsiaTheme="minorEastAsia" w:hAnsiTheme="minorHAnsi" w:cstheme="minorBidi"/>
            <w:noProof/>
            <w:color w:val="auto"/>
            <w:szCs w:val="22"/>
            <w:lang w:eastAsia="en-GB"/>
          </w:rPr>
          <w:tab/>
        </w:r>
        <w:r w:rsidR="00A967C0" w:rsidRPr="00622F46">
          <w:rPr>
            <w:rStyle w:val="Hyperlink"/>
            <w:noProof/>
          </w:rPr>
          <w:t>Specimen Retention Policy</w:t>
        </w:r>
        <w:r w:rsidR="00A967C0">
          <w:rPr>
            <w:noProof/>
            <w:webHidden/>
          </w:rPr>
          <w:tab/>
        </w:r>
        <w:r w:rsidR="00A967C0">
          <w:rPr>
            <w:noProof/>
            <w:webHidden/>
          </w:rPr>
          <w:fldChar w:fldCharType="begin"/>
        </w:r>
        <w:r w:rsidR="00A967C0">
          <w:rPr>
            <w:noProof/>
            <w:webHidden/>
          </w:rPr>
          <w:instrText xml:space="preserve"> PAGEREF _Toc114849225 \h </w:instrText>
        </w:r>
        <w:r w:rsidR="00A967C0">
          <w:rPr>
            <w:noProof/>
            <w:webHidden/>
          </w:rPr>
        </w:r>
        <w:r w:rsidR="00A967C0">
          <w:rPr>
            <w:noProof/>
            <w:webHidden/>
          </w:rPr>
          <w:fldChar w:fldCharType="separate"/>
        </w:r>
        <w:r w:rsidR="00A967C0">
          <w:rPr>
            <w:noProof/>
            <w:webHidden/>
          </w:rPr>
          <w:t>10</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26" w:history="1">
        <w:r w:rsidR="00A967C0" w:rsidRPr="00622F46">
          <w:rPr>
            <w:rStyle w:val="Hyperlink"/>
            <w:noProof/>
          </w:rPr>
          <w:t>2.12</w:t>
        </w:r>
        <w:r w:rsidR="00A967C0">
          <w:rPr>
            <w:rFonts w:asciiTheme="minorHAnsi" w:eastAsiaTheme="minorEastAsia" w:hAnsiTheme="minorHAnsi" w:cstheme="minorBidi"/>
            <w:noProof/>
            <w:color w:val="auto"/>
            <w:szCs w:val="22"/>
            <w:lang w:eastAsia="en-GB"/>
          </w:rPr>
          <w:tab/>
        </w:r>
        <w:r w:rsidR="00A967C0" w:rsidRPr="00622F46">
          <w:rPr>
            <w:rStyle w:val="Hyperlink"/>
            <w:noProof/>
          </w:rPr>
          <w:t>Telephoned Results</w:t>
        </w:r>
        <w:r w:rsidR="00A967C0">
          <w:rPr>
            <w:noProof/>
            <w:webHidden/>
          </w:rPr>
          <w:tab/>
        </w:r>
        <w:r w:rsidR="00A967C0">
          <w:rPr>
            <w:noProof/>
            <w:webHidden/>
          </w:rPr>
          <w:fldChar w:fldCharType="begin"/>
        </w:r>
        <w:r w:rsidR="00A967C0">
          <w:rPr>
            <w:noProof/>
            <w:webHidden/>
          </w:rPr>
          <w:instrText xml:space="preserve"> PAGEREF _Toc114849226 \h </w:instrText>
        </w:r>
        <w:r w:rsidR="00A967C0">
          <w:rPr>
            <w:noProof/>
            <w:webHidden/>
          </w:rPr>
        </w:r>
        <w:r w:rsidR="00A967C0">
          <w:rPr>
            <w:noProof/>
            <w:webHidden/>
          </w:rPr>
          <w:fldChar w:fldCharType="separate"/>
        </w:r>
        <w:r w:rsidR="00A967C0">
          <w:rPr>
            <w:noProof/>
            <w:webHidden/>
          </w:rPr>
          <w:t>10</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27" w:history="1">
        <w:r w:rsidR="00A967C0" w:rsidRPr="00622F46">
          <w:rPr>
            <w:rStyle w:val="Hyperlink"/>
            <w:noProof/>
          </w:rPr>
          <w:t>2.13</w:t>
        </w:r>
        <w:r w:rsidR="00A967C0">
          <w:rPr>
            <w:rFonts w:asciiTheme="minorHAnsi" w:eastAsiaTheme="minorEastAsia" w:hAnsiTheme="minorHAnsi" w:cstheme="minorBidi"/>
            <w:noProof/>
            <w:color w:val="auto"/>
            <w:szCs w:val="22"/>
            <w:lang w:eastAsia="en-GB"/>
          </w:rPr>
          <w:tab/>
        </w:r>
        <w:r w:rsidR="00A967C0" w:rsidRPr="00622F46">
          <w:rPr>
            <w:rStyle w:val="Hyperlink"/>
            <w:noProof/>
          </w:rPr>
          <w:t>Visitors</w:t>
        </w:r>
        <w:r w:rsidR="00A967C0">
          <w:rPr>
            <w:noProof/>
            <w:webHidden/>
          </w:rPr>
          <w:tab/>
        </w:r>
        <w:r w:rsidR="00A967C0">
          <w:rPr>
            <w:noProof/>
            <w:webHidden/>
          </w:rPr>
          <w:fldChar w:fldCharType="begin"/>
        </w:r>
        <w:r w:rsidR="00A967C0">
          <w:rPr>
            <w:noProof/>
            <w:webHidden/>
          </w:rPr>
          <w:instrText xml:space="preserve"> PAGEREF _Toc114849227 \h </w:instrText>
        </w:r>
        <w:r w:rsidR="00A967C0">
          <w:rPr>
            <w:noProof/>
            <w:webHidden/>
          </w:rPr>
        </w:r>
        <w:r w:rsidR="00A967C0">
          <w:rPr>
            <w:noProof/>
            <w:webHidden/>
          </w:rPr>
          <w:fldChar w:fldCharType="separate"/>
        </w:r>
        <w:r w:rsidR="00A967C0">
          <w:rPr>
            <w:noProof/>
            <w:webHidden/>
          </w:rPr>
          <w:t>10</w:t>
        </w:r>
        <w:r w:rsidR="00A967C0">
          <w:rPr>
            <w:noProof/>
            <w:webHidden/>
          </w:rPr>
          <w:fldChar w:fldCharType="end"/>
        </w:r>
      </w:hyperlink>
    </w:p>
    <w:p w:rsidR="00A967C0" w:rsidRDefault="00B54957">
      <w:pPr>
        <w:pStyle w:val="TOC1"/>
        <w:rPr>
          <w:rFonts w:asciiTheme="minorHAnsi" w:eastAsiaTheme="minorEastAsia" w:hAnsiTheme="minorHAnsi" w:cstheme="minorBidi"/>
          <w:b w:val="0"/>
          <w:noProof/>
          <w:color w:val="auto"/>
          <w:szCs w:val="22"/>
          <w:lang w:eastAsia="en-GB"/>
        </w:rPr>
      </w:pPr>
      <w:hyperlink w:anchor="_Toc114849228" w:history="1">
        <w:r w:rsidR="00A967C0" w:rsidRPr="00622F46">
          <w:rPr>
            <w:rStyle w:val="Hyperlink"/>
            <w:bCs/>
            <w:noProof/>
          </w:rPr>
          <w:t>3.</w:t>
        </w:r>
        <w:r w:rsidR="00A967C0">
          <w:rPr>
            <w:rFonts w:asciiTheme="minorHAnsi" w:eastAsiaTheme="minorEastAsia" w:hAnsiTheme="minorHAnsi" w:cstheme="minorBidi"/>
            <w:b w:val="0"/>
            <w:noProof/>
            <w:color w:val="auto"/>
            <w:szCs w:val="22"/>
            <w:lang w:eastAsia="en-GB"/>
          </w:rPr>
          <w:tab/>
        </w:r>
        <w:r w:rsidR="00A967C0" w:rsidRPr="00622F46">
          <w:rPr>
            <w:rStyle w:val="Hyperlink"/>
            <w:bCs/>
            <w:noProof/>
          </w:rPr>
          <w:t>Out of Hours’ Service</w:t>
        </w:r>
        <w:r w:rsidR="00A967C0">
          <w:rPr>
            <w:noProof/>
            <w:webHidden/>
          </w:rPr>
          <w:tab/>
        </w:r>
        <w:r w:rsidR="00A967C0">
          <w:rPr>
            <w:noProof/>
            <w:webHidden/>
          </w:rPr>
          <w:fldChar w:fldCharType="begin"/>
        </w:r>
        <w:r w:rsidR="00A967C0">
          <w:rPr>
            <w:noProof/>
            <w:webHidden/>
          </w:rPr>
          <w:instrText xml:space="preserve"> PAGEREF _Toc114849228 \h </w:instrText>
        </w:r>
        <w:r w:rsidR="00A967C0">
          <w:rPr>
            <w:noProof/>
            <w:webHidden/>
          </w:rPr>
        </w:r>
        <w:r w:rsidR="00A967C0">
          <w:rPr>
            <w:noProof/>
            <w:webHidden/>
          </w:rPr>
          <w:fldChar w:fldCharType="separate"/>
        </w:r>
        <w:r w:rsidR="00A967C0">
          <w:rPr>
            <w:noProof/>
            <w:webHidden/>
          </w:rPr>
          <w:t>10</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29" w:history="1">
        <w:r w:rsidR="00A967C0" w:rsidRPr="00622F46">
          <w:rPr>
            <w:rStyle w:val="Hyperlink"/>
            <w:noProof/>
          </w:rPr>
          <w:t>3.1</w:t>
        </w:r>
        <w:r w:rsidR="00A967C0">
          <w:rPr>
            <w:rFonts w:asciiTheme="minorHAnsi" w:eastAsiaTheme="minorEastAsia" w:hAnsiTheme="minorHAnsi" w:cstheme="minorBidi"/>
            <w:noProof/>
            <w:color w:val="auto"/>
            <w:szCs w:val="22"/>
            <w:lang w:eastAsia="en-GB"/>
          </w:rPr>
          <w:tab/>
        </w:r>
        <w:r w:rsidR="00A967C0" w:rsidRPr="00622F46">
          <w:rPr>
            <w:rStyle w:val="Hyperlink"/>
            <w:noProof/>
          </w:rPr>
          <w:t>Out of Hours’ Examinations Provided in LMH</w:t>
        </w:r>
        <w:r w:rsidR="00A967C0">
          <w:rPr>
            <w:noProof/>
            <w:webHidden/>
          </w:rPr>
          <w:tab/>
        </w:r>
        <w:r w:rsidR="00A967C0">
          <w:rPr>
            <w:noProof/>
            <w:webHidden/>
          </w:rPr>
          <w:fldChar w:fldCharType="begin"/>
        </w:r>
        <w:r w:rsidR="00A967C0">
          <w:rPr>
            <w:noProof/>
            <w:webHidden/>
          </w:rPr>
          <w:instrText xml:space="preserve"> PAGEREF _Toc114849229 \h </w:instrText>
        </w:r>
        <w:r w:rsidR="00A967C0">
          <w:rPr>
            <w:noProof/>
            <w:webHidden/>
          </w:rPr>
        </w:r>
        <w:r w:rsidR="00A967C0">
          <w:rPr>
            <w:noProof/>
            <w:webHidden/>
          </w:rPr>
          <w:fldChar w:fldCharType="separate"/>
        </w:r>
        <w:r w:rsidR="00A967C0">
          <w:rPr>
            <w:noProof/>
            <w:webHidden/>
          </w:rPr>
          <w:t>10</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30" w:history="1">
        <w:r w:rsidR="00A967C0" w:rsidRPr="00622F46">
          <w:rPr>
            <w:rStyle w:val="Hyperlink"/>
            <w:noProof/>
          </w:rPr>
          <w:t>3.2</w:t>
        </w:r>
        <w:r w:rsidR="00A967C0">
          <w:rPr>
            <w:rFonts w:asciiTheme="minorHAnsi" w:eastAsiaTheme="minorEastAsia" w:hAnsiTheme="minorHAnsi" w:cstheme="minorBidi"/>
            <w:noProof/>
            <w:color w:val="auto"/>
            <w:szCs w:val="22"/>
            <w:lang w:eastAsia="en-GB"/>
          </w:rPr>
          <w:tab/>
        </w:r>
        <w:r w:rsidR="00A967C0" w:rsidRPr="00622F46">
          <w:rPr>
            <w:rStyle w:val="Hyperlink"/>
            <w:noProof/>
          </w:rPr>
          <w:t>Medical Advice</w:t>
        </w:r>
        <w:r w:rsidR="00A967C0">
          <w:rPr>
            <w:noProof/>
            <w:webHidden/>
          </w:rPr>
          <w:tab/>
        </w:r>
        <w:r w:rsidR="00A967C0">
          <w:rPr>
            <w:noProof/>
            <w:webHidden/>
          </w:rPr>
          <w:fldChar w:fldCharType="begin"/>
        </w:r>
        <w:r w:rsidR="00A967C0">
          <w:rPr>
            <w:noProof/>
            <w:webHidden/>
          </w:rPr>
          <w:instrText xml:space="preserve"> PAGEREF _Toc114849230 \h </w:instrText>
        </w:r>
        <w:r w:rsidR="00A967C0">
          <w:rPr>
            <w:noProof/>
            <w:webHidden/>
          </w:rPr>
        </w:r>
        <w:r w:rsidR="00A967C0">
          <w:rPr>
            <w:noProof/>
            <w:webHidden/>
          </w:rPr>
          <w:fldChar w:fldCharType="separate"/>
        </w:r>
        <w:r w:rsidR="00A967C0">
          <w:rPr>
            <w:noProof/>
            <w:webHidden/>
          </w:rPr>
          <w:t>10</w:t>
        </w:r>
        <w:r w:rsidR="00A967C0">
          <w:rPr>
            <w:noProof/>
            <w:webHidden/>
          </w:rPr>
          <w:fldChar w:fldCharType="end"/>
        </w:r>
      </w:hyperlink>
    </w:p>
    <w:p w:rsidR="00A967C0" w:rsidRDefault="00B54957">
      <w:pPr>
        <w:pStyle w:val="TOC1"/>
        <w:rPr>
          <w:rFonts w:asciiTheme="minorHAnsi" w:eastAsiaTheme="minorEastAsia" w:hAnsiTheme="minorHAnsi" w:cstheme="minorBidi"/>
          <w:b w:val="0"/>
          <w:noProof/>
          <w:color w:val="auto"/>
          <w:szCs w:val="22"/>
          <w:lang w:eastAsia="en-GB"/>
        </w:rPr>
      </w:pPr>
      <w:hyperlink w:anchor="_Toc114849231" w:history="1">
        <w:r w:rsidR="00A967C0" w:rsidRPr="00622F46">
          <w:rPr>
            <w:rStyle w:val="Hyperlink"/>
            <w:bCs/>
            <w:noProof/>
          </w:rPr>
          <w:t>4.</w:t>
        </w:r>
        <w:r w:rsidR="00A967C0">
          <w:rPr>
            <w:rFonts w:asciiTheme="minorHAnsi" w:eastAsiaTheme="minorEastAsia" w:hAnsiTheme="minorHAnsi" w:cstheme="minorBidi"/>
            <w:b w:val="0"/>
            <w:noProof/>
            <w:color w:val="auto"/>
            <w:szCs w:val="22"/>
            <w:lang w:eastAsia="en-GB"/>
          </w:rPr>
          <w:tab/>
        </w:r>
        <w:r w:rsidR="00A967C0" w:rsidRPr="00622F46">
          <w:rPr>
            <w:rStyle w:val="Hyperlink"/>
            <w:bCs/>
            <w:noProof/>
          </w:rPr>
          <w:t>List of Tests Performed in LMH</w:t>
        </w:r>
        <w:r w:rsidR="00A967C0">
          <w:rPr>
            <w:noProof/>
            <w:webHidden/>
          </w:rPr>
          <w:tab/>
        </w:r>
        <w:r w:rsidR="00A967C0">
          <w:rPr>
            <w:noProof/>
            <w:webHidden/>
          </w:rPr>
          <w:fldChar w:fldCharType="begin"/>
        </w:r>
        <w:r w:rsidR="00A967C0">
          <w:rPr>
            <w:noProof/>
            <w:webHidden/>
          </w:rPr>
          <w:instrText xml:space="preserve"> PAGEREF _Toc114849231 \h </w:instrText>
        </w:r>
        <w:r w:rsidR="00A967C0">
          <w:rPr>
            <w:noProof/>
            <w:webHidden/>
          </w:rPr>
        </w:r>
        <w:r w:rsidR="00A967C0">
          <w:rPr>
            <w:noProof/>
            <w:webHidden/>
          </w:rPr>
          <w:fldChar w:fldCharType="separate"/>
        </w:r>
        <w:r w:rsidR="00A967C0">
          <w:rPr>
            <w:noProof/>
            <w:webHidden/>
          </w:rPr>
          <w:t>11</w:t>
        </w:r>
        <w:r w:rsidR="00A967C0">
          <w:rPr>
            <w:noProof/>
            <w:webHidden/>
          </w:rPr>
          <w:fldChar w:fldCharType="end"/>
        </w:r>
      </w:hyperlink>
    </w:p>
    <w:p w:rsidR="00A967C0" w:rsidRDefault="00B54957">
      <w:pPr>
        <w:pStyle w:val="TOC1"/>
        <w:rPr>
          <w:rFonts w:asciiTheme="minorHAnsi" w:eastAsiaTheme="minorEastAsia" w:hAnsiTheme="minorHAnsi" w:cstheme="minorBidi"/>
          <w:b w:val="0"/>
          <w:noProof/>
          <w:color w:val="auto"/>
          <w:szCs w:val="22"/>
          <w:lang w:eastAsia="en-GB"/>
        </w:rPr>
      </w:pPr>
      <w:hyperlink w:anchor="_Toc114849232" w:history="1">
        <w:r w:rsidR="00A967C0" w:rsidRPr="00622F46">
          <w:rPr>
            <w:rStyle w:val="Hyperlink"/>
            <w:bCs/>
            <w:noProof/>
          </w:rPr>
          <w:t>5.</w:t>
        </w:r>
        <w:r w:rsidR="00A967C0">
          <w:rPr>
            <w:rFonts w:asciiTheme="minorHAnsi" w:eastAsiaTheme="minorEastAsia" w:hAnsiTheme="minorHAnsi" w:cstheme="minorBidi"/>
            <w:b w:val="0"/>
            <w:noProof/>
            <w:color w:val="auto"/>
            <w:szCs w:val="22"/>
            <w:lang w:eastAsia="en-GB"/>
          </w:rPr>
          <w:tab/>
        </w:r>
        <w:r w:rsidR="00A967C0" w:rsidRPr="00622F46">
          <w:rPr>
            <w:rStyle w:val="Hyperlink"/>
            <w:bCs/>
            <w:noProof/>
          </w:rPr>
          <w:t>Tests Referred to Other Laboratories</w:t>
        </w:r>
        <w:r w:rsidR="00A967C0">
          <w:rPr>
            <w:noProof/>
            <w:webHidden/>
          </w:rPr>
          <w:tab/>
        </w:r>
        <w:r w:rsidR="00A967C0">
          <w:rPr>
            <w:noProof/>
            <w:webHidden/>
          </w:rPr>
          <w:fldChar w:fldCharType="begin"/>
        </w:r>
        <w:r w:rsidR="00A967C0">
          <w:rPr>
            <w:noProof/>
            <w:webHidden/>
          </w:rPr>
          <w:instrText xml:space="preserve"> PAGEREF _Toc114849232 \h </w:instrText>
        </w:r>
        <w:r w:rsidR="00A967C0">
          <w:rPr>
            <w:noProof/>
            <w:webHidden/>
          </w:rPr>
        </w:r>
        <w:r w:rsidR="00A967C0">
          <w:rPr>
            <w:noProof/>
            <w:webHidden/>
          </w:rPr>
          <w:fldChar w:fldCharType="separate"/>
        </w:r>
        <w:r w:rsidR="00A967C0">
          <w:rPr>
            <w:noProof/>
            <w:webHidden/>
          </w:rPr>
          <w:t>12</w:t>
        </w:r>
        <w:r w:rsidR="00A967C0">
          <w:rPr>
            <w:noProof/>
            <w:webHidden/>
          </w:rPr>
          <w:fldChar w:fldCharType="end"/>
        </w:r>
      </w:hyperlink>
    </w:p>
    <w:p w:rsidR="00A967C0" w:rsidRDefault="00B54957">
      <w:pPr>
        <w:pStyle w:val="TOC1"/>
        <w:rPr>
          <w:rFonts w:asciiTheme="minorHAnsi" w:eastAsiaTheme="minorEastAsia" w:hAnsiTheme="minorHAnsi" w:cstheme="minorBidi"/>
          <w:b w:val="0"/>
          <w:noProof/>
          <w:color w:val="auto"/>
          <w:szCs w:val="22"/>
          <w:lang w:eastAsia="en-GB"/>
        </w:rPr>
      </w:pPr>
      <w:hyperlink w:anchor="_Toc114849233" w:history="1">
        <w:r w:rsidR="00A967C0" w:rsidRPr="00622F46">
          <w:rPr>
            <w:rStyle w:val="Hyperlink"/>
            <w:bCs/>
            <w:noProof/>
          </w:rPr>
          <w:t>6.</w:t>
        </w:r>
        <w:r w:rsidR="00A967C0">
          <w:rPr>
            <w:rFonts w:asciiTheme="minorHAnsi" w:eastAsiaTheme="minorEastAsia" w:hAnsiTheme="minorHAnsi" w:cstheme="minorBidi"/>
            <w:b w:val="0"/>
            <w:noProof/>
            <w:color w:val="auto"/>
            <w:szCs w:val="22"/>
            <w:lang w:eastAsia="en-GB"/>
          </w:rPr>
          <w:tab/>
        </w:r>
        <w:r w:rsidR="00A967C0" w:rsidRPr="00622F46">
          <w:rPr>
            <w:rStyle w:val="Hyperlink"/>
            <w:bCs/>
            <w:noProof/>
          </w:rPr>
          <w:t>External Quality Assurance (EQA) scheme participation</w:t>
        </w:r>
        <w:r w:rsidR="00A967C0">
          <w:rPr>
            <w:noProof/>
            <w:webHidden/>
          </w:rPr>
          <w:tab/>
        </w:r>
        <w:r w:rsidR="00A967C0">
          <w:rPr>
            <w:noProof/>
            <w:webHidden/>
          </w:rPr>
          <w:fldChar w:fldCharType="begin"/>
        </w:r>
        <w:r w:rsidR="00A967C0">
          <w:rPr>
            <w:noProof/>
            <w:webHidden/>
          </w:rPr>
          <w:instrText xml:space="preserve"> PAGEREF _Toc114849233 \h </w:instrText>
        </w:r>
        <w:r w:rsidR="00A967C0">
          <w:rPr>
            <w:noProof/>
            <w:webHidden/>
          </w:rPr>
        </w:r>
        <w:r w:rsidR="00A967C0">
          <w:rPr>
            <w:noProof/>
            <w:webHidden/>
          </w:rPr>
          <w:fldChar w:fldCharType="separate"/>
        </w:r>
        <w:r w:rsidR="00A967C0">
          <w:rPr>
            <w:noProof/>
            <w:webHidden/>
          </w:rPr>
          <w:t>13</w:t>
        </w:r>
        <w:r w:rsidR="00A967C0">
          <w:rPr>
            <w:noProof/>
            <w:webHidden/>
          </w:rPr>
          <w:fldChar w:fldCharType="end"/>
        </w:r>
      </w:hyperlink>
    </w:p>
    <w:p w:rsidR="00A967C0" w:rsidRDefault="00B54957">
      <w:pPr>
        <w:pStyle w:val="TOC1"/>
        <w:rPr>
          <w:rFonts w:asciiTheme="minorHAnsi" w:eastAsiaTheme="minorEastAsia" w:hAnsiTheme="minorHAnsi" w:cstheme="minorBidi"/>
          <w:b w:val="0"/>
          <w:noProof/>
          <w:color w:val="auto"/>
          <w:szCs w:val="22"/>
          <w:lang w:eastAsia="en-GB"/>
        </w:rPr>
      </w:pPr>
      <w:hyperlink w:anchor="_Toc114849234" w:history="1">
        <w:r w:rsidR="00A967C0" w:rsidRPr="00622F46">
          <w:rPr>
            <w:rStyle w:val="Hyperlink"/>
            <w:bCs/>
            <w:noProof/>
          </w:rPr>
          <w:t>7.</w:t>
        </w:r>
        <w:r w:rsidR="00A967C0">
          <w:rPr>
            <w:rFonts w:asciiTheme="minorHAnsi" w:eastAsiaTheme="minorEastAsia" w:hAnsiTheme="minorHAnsi" w:cstheme="minorBidi"/>
            <w:b w:val="0"/>
            <w:noProof/>
            <w:color w:val="auto"/>
            <w:szCs w:val="22"/>
            <w:lang w:eastAsia="en-GB"/>
          </w:rPr>
          <w:tab/>
        </w:r>
        <w:r w:rsidR="00A967C0" w:rsidRPr="00622F46">
          <w:rPr>
            <w:rStyle w:val="Hyperlink"/>
            <w:bCs/>
            <w:noProof/>
          </w:rPr>
          <w:t>Additional Information on Molecular Investigations in LMH lab</w:t>
        </w:r>
        <w:r w:rsidR="00A967C0">
          <w:rPr>
            <w:noProof/>
            <w:webHidden/>
          </w:rPr>
          <w:tab/>
        </w:r>
        <w:r w:rsidR="00A967C0">
          <w:rPr>
            <w:noProof/>
            <w:webHidden/>
          </w:rPr>
          <w:fldChar w:fldCharType="begin"/>
        </w:r>
        <w:r w:rsidR="00A967C0">
          <w:rPr>
            <w:noProof/>
            <w:webHidden/>
          </w:rPr>
          <w:instrText xml:space="preserve"> PAGEREF _Toc114849234 \h </w:instrText>
        </w:r>
        <w:r w:rsidR="00A967C0">
          <w:rPr>
            <w:noProof/>
            <w:webHidden/>
          </w:rPr>
        </w:r>
        <w:r w:rsidR="00A967C0">
          <w:rPr>
            <w:noProof/>
            <w:webHidden/>
          </w:rPr>
          <w:fldChar w:fldCharType="separate"/>
        </w:r>
        <w:r w:rsidR="00A967C0">
          <w:rPr>
            <w:noProof/>
            <w:webHidden/>
          </w:rPr>
          <w:t>14</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35" w:history="1">
        <w:r w:rsidR="00A967C0" w:rsidRPr="00622F46">
          <w:rPr>
            <w:rStyle w:val="Hyperlink"/>
            <w:noProof/>
          </w:rPr>
          <w:t>7.1</w:t>
        </w:r>
        <w:r w:rsidR="00A967C0">
          <w:rPr>
            <w:rFonts w:asciiTheme="minorHAnsi" w:eastAsiaTheme="minorEastAsia" w:hAnsiTheme="minorHAnsi" w:cstheme="minorBidi"/>
            <w:noProof/>
            <w:color w:val="auto"/>
            <w:szCs w:val="22"/>
            <w:lang w:eastAsia="en-GB"/>
          </w:rPr>
          <w:tab/>
        </w:r>
        <w:r w:rsidR="00A967C0" w:rsidRPr="00622F46">
          <w:rPr>
            <w:rStyle w:val="Hyperlink"/>
            <w:noProof/>
          </w:rPr>
          <w:t>MPN panel testing</w:t>
        </w:r>
        <w:r w:rsidR="00A967C0">
          <w:rPr>
            <w:noProof/>
            <w:webHidden/>
          </w:rPr>
          <w:tab/>
        </w:r>
        <w:r w:rsidR="00A967C0">
          <w:rPr>
            <w:noProof/>
            <w:webHidden/>
          </w:rPr>
          <w:fldChar w:fldCharType="begin"/>
        </w:r>
        <w:r w:rsidR="00A967C0">
          <w:rPr>
            <w:noProof/>
            <w:webHidden/>
          </w:rPr>
          <w:instrText xml:space="preserve"> PAGEREF _Toc114849235 \h </w:instrText>
        </w:r>
        <w:r w:rsidR="00A967C0">
          <w:rPr>
            <w:noProof/>
            <w:webHidden/>
          </w:rPr>
        </w:r>
        <w:r w:rsidR="00A967C0">
          <w:rPr>
            <w:noProof/>
            <w:webHidden/>
          </w:rPr>
          <w:fldChar w:fldCharType="separate"/>
        </w:r>
        <w:r w:rsidR="00A967C0">
          <w:rPr>
            <w:noProof/>
            <w:webHidden/>
          </w:rPr>
          <w:t>14</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36" w:history="1">
        <w:r w:rsidR="00A967C0" w:rsidRPr="00622F46">
          <w:rPr>
            <w:rStyle w:val="Hyperlink"/>
            <w:noProof/>
          </w:rPr>
          <w:t>7.2</w:t>
        </w:r>
        <w:r w:rsidR="00A967C0">
          <w:rPr>
            <w:rFonts w:asciiTheme="minorHAnsi" w:eastAsiaTheme="minorEastAsia" w:hAnsiTheme="minorHAnsi" w:cstheme="minorBidi"/>
            <w:noProof/>
            <w:color w:val="auto"/>
            <w:szCs w:val="22"/>
            <w:lang w:eastAsia="en-GB"/>
          </w:rPr>
          <w:tab/>
        </w:r>
        <w:r w:rsidR="00A967C0" w:rsidRPr="00622F46">
          <w:rPr>
            <w:rStyle w:val="Hyperlink"/>
            <w:noProof/>
          </w:rPr>
          <w:t>Single gene MPN mutation analysis</w:t>
        </w:r>
        <w:r w:rsidR="00A967C0">
          <w:rPr>
            <w:noProof/>
            <w:webHidden/>
          </w:rPr>
          <w:tab/>
        </w:r>
        <w:r w:rsidR="00A967C0">
          <w:rPr>
            <w:noProof/>
            <w:webHidden/>
          </w:rPr>
          <w:fldChar w:fldCharType="begin"/>
        </w:r>
        <w:r w:rsidR="00A967C0">
          <w:rPr>
            <w:noProof/>
            <w:webHidden/>
          </w:rPr>
          <w:instrText xml:space="preserve"> PAGEREF _Toc114849236 \h </w:instrText>
        </w:r>
        <w:r w:rsidR="00A967C0">
          <w:rPr>
            <w:noProof/>
            <w:webHidden/>
          </w:rPr>
        </w:r>
        <w:r w:rsidR="00A967C0">
          <w:rPr>
            <w:noProof/>
            <w:webHidden/>
          </w:rPr>
          <w:fldChar w:fldCharType="separate"/>
        </w:r>
        <w:r w:rsidR="00A967C0">
          <w:rPr>
            <w:noProof/>
            <w:webHidden/>
          </w:rPr>
          <w:t>14</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37" w:history="1">
        <w:r w:rsidR="00A967C0" w:rsidRPr="00622F46">
          <w:rPr>
            <w:rStyle w:val="Hyperlink"/>
            <w:noProof/>
            <w:lang w:eastAsia="en-GB"/>
          </w:rPr>
          <w:t>7.3</w:t>
        </w:r>
        <w:r w:rsidR="00A967C0">
          <w:rPr>
            <w:rFonts w:asciiTheme="minorHAnsi" w:eastAsiaTheme="minorEastAsia" w:hAnsiTheme="minorHAnsi" w:cstheme="minorBidi"/>
            <w:noProof/>
            <w:color w:val="auto"/>
            <w:szCs w:val="22"/>
            <w:lang w:eastAsia="en-GB"/>
          </w:rPr>
          <w:tab/>
        </w:r>
        <w:r w:rsidR="00A967C0" w:rsidRPr="00622F46">
          <w:rPr>
            <w:rStyle w:val="Hyperlink"/>
            <w:noProof/>
            <w:lang w:eastAsia="en-GB"/>
          </w:rPr>
          <w:t>FLT3 &amp; NPM1 mutation analysis</w:t>
        </w:r>
        <w:r w:rsidR="00A967C0">
          <w:rPr>
            <w:noProof/>
            <w:webHidden/>
          </w:rPr>
          <w:tab/>
        </w:r>
        <w:r w:rsidR="00A967C0">
          <w:rPr>
            <w:noProof/>
            <w:webHidden/>
          </w:rPr>
          <w:fldChar w:fldCharType="begin"/>
        </w:r>
        <w:r w:rsidR="00A967C0">
          <w:rPr>
            <w:noProof/>
            <w:webHidden/>
          </w:rPr>
          <w:instrText xml:space="preserve"> PAGEREF _Toc114849237 \h </w:instrText>
        </w:r>
        <w:r w:rsidR="00A967C0">
          <w:rPr>
            <w:noProof/>
            <w:webHidden/>
          </w:rPr>
        </w:r>
        <w:r w:rsidR="00A967C0">
          <w:rPr>
            <w:noProof/>
            <w:webHidden/>
          </w:rPr>
          <w:fldChar w:fldCharType="separate"/>
        </w:r>
        <w:r w:rsidR="00A967C0">
          <w:rPr>
            <w:noProof/>
            <w:webHidden/>
          </w:rPr>
          <w:t>14</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38" w:history="1">
        <w:r w:rsidR="00A967C0" w:rsidRPr="00622F46">
          <w:rPr>
            <w:rStyle w:val="Hyperlink"/>
            <w:noProof/>
            <w:lang w:eastAsia="en-GB"/>
          </w:rPr>
          <w:t>7.4</w:t>
        </w:r>
        <w:r w:rsidR="00A967C0">
          <w:rPr>
            <w:rFonts w:asciiTheme="minorHAnsi" w:eastAsiaTheme="minorEastAsia" w:hAnsiTheme="minorHAnsi" w:cstheme="minorBidi"/>
            <w:noProof/>
            <w:color w:val="auto"/>
            <w:szCs w:val="22"/>
            <w:lang w:eastAsia="en-GB"/>
          </w:rPr>
          <w:tab/>
        </w:r>
        <w:r w:rsidR="00A967C0" w:rsidRPr="00622F46">
          <w:rPr>
            <w:rStyle w:val="Hyperlink"/>
            <w:noProof/>
            <w:lang w:eastAsia="en-GB"/>
          </w:rPr>
          <w:t>Myeloid Gene Panel and Lymphoid gene panel</w:t>
        </w:r>
        <w:r w:rsidR="00A967C0">
          <w:rPr>
            <w:noProof/>
            <w:webHidden/>
          </w:rPr>
          <w:tab/>
        </w:r>
        <w:r w:rsidR="00A967C0">
          <w:rPr>
            <w:noProof/>
            <w:webHidden/>
          </w:rPr>
          <w:fldChar w:fldCharType="begin"/>
        </w:r>
        <w:r w:rsidR="00A967C0">
          <w:rPr>
            <w:noProof/>
            <w:webHidden/>
          </w:rPr>
          <w:instrText xml:space="preserve"> PAGEREF _Toc114849238 \h </w:instrText>
        </w:r>
        <w:r w:rsidR="00A967C0">
          <w:rPr>
            <w:noProof/>
            <w:webHidden/>
          </w:rPr>
        </w:r>
        <w:r w:rsidR="00A967C0">
          <w:rPr>
            <w:noProof/>
            <w:webHidden/>
          </w:rPr>
          <w:fldChar w:fldCharType="separate"/>
        </w:r>
        <w:r w:rsidR="00A967C0">
          <w:rPr>
            <w:noProof/>
            <w:webHidden/>
          </w:rPr>
          <w:t>15</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39" w:history="1">
        <w:r w:rsidR="00A967C0" w:rsidRPr="00622F46">
          <w:rPr>
            <w:rStyle w:val="Hyperlink"/>
            <w:noProof/>
            <w:lang w:eastAsia="en-GB"/>
          </w:rPr>
          <w:t>7.5</w:t>
        </w:r>
        <w:r w:rsidR="00A967C0">
          <w:rPr>
            <w:rFonts w:asciiTheme="minorHAnsi" w:eastAsiaTheme="minorEastAsia" w:hAnsiTheme="minorHAnsi" w:cstheme="minorBidi"/>
            <w:noProof/>
            <w:color w:val="auto"/>
            <w:szCs w:val="22"/>
            <w:lang w:eastAsia="en-GB"/>
          </w:rPr>
          <w:tab/>
        </w:r>
        <w:r w:rsidR="00A967C0" w:rsidRPr="00622F46">
          <w:rPr>
            <w:rStyle w:val="Hyperlink"/>
            <w:noProof/>
            <w:lang w:eastAsia="en-GB"/>
          </w:rPr>
          <w:t>BRAF V600 Mutation</w:t>
        </w:r>
        <w:r w:rsidR="00A967C0">
          <w:rPr>
            <w:noProof/>
            <w:webHidden/>
          </w:rPr>
          <w:tab/>
        </w:r>
        <w:r w:rsidR="00A967C0">
          <w:rPr>
            <w:noProof/>
            <w:webHidden/>
          </w:rPr>
          <w:fldChar w:fldCharType="begin"/>
        </w:r>
        <w:r w:rsidR="00A967C0">
          <w:rPr>
            <w:noProof/>
            <w:webHidden/>
          </w:rPr>
          <w:instrText xml:space="preserve"> PAGEREF _Toc114849239 \h </w:instrText>
        </w:r>
        <w:r w:rsidR="00A967C0">
          <w:rPr>
            <w:noProof/>
            <w:webHidden/>
          </w:rPr>
        </w:r>
        <w:r w:rsidR="00A967C0">
          <w:rPr>
            <w:noProof/>
            <w:webHidden/>
          </w:rPr>
          <w:fldChar w:fldCharType="separate"/>
        </w:r>
        <w:r w:rsidR="00A967C0">
          <w:rPr>
            <w:noProof/>
            <w:webHidden/>
          </w:rPr>
          <w:t>20</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40" w:history="1">
        <w:r w:rsidR="00A967C0" w:rsidRPr="00622F46">
          <w:rPr>
            <w:rStyle w:val="Hyperlink"/>
            <w:noProof/>
            <w:lang w:eastAsia="en-GB"/>
          </w:rPr>
          <w:t>7.6</w:t>
        </w:r>
        <w:r w:rsidR="00A967C0">
          <w:rPr>
            <w:rFonts w:asciiTheme="minorHAnsi" w:eastAsiaTheme="minorEastAsia" w:hAnsiTheme="minorHAnsi" w:cstheme="minorBidi"/>
            <w:noProof/>
            <w:color w:val="auto"/>
            <w:szCs w:val="22"/>
            <w:lang w:eastAsia="en-GB"/>
          </w:rPr>
          <w:tab/>
        </w:r>
        <w:r w:rsidR="00A967C0" w:rsidRPr="00622F46">
          <w:rPr>
            <w:rStyle w:val="Hyperlink"/>
            <w:noProof/>
            <w:lang w:eastAsia="en-GB"/>
          </w:rPr>
          <w:t>MYD88 L265P Mutation</w:t>
        </w:r>
        <w:r w:rsidR="00A967C0">
          <w:rPr>
            <w:noProof/>
            <w:webHidden/>
          </w:rPr>
          <w:tab/>
        </w:r>
        <w:r w:rsidR="00A967C0">
          <w:rPr>
            <w:noProof/>
            <w:webHidden/>
          </w:rPr>
          <w:fldChar w:fldCharType="begin"/>
        </w:r>
        <w:r w:rsidR="00A967C0">
          <w:rPr>
            <w:noProof/>
            <w:webHidden/>
          </w:rPr>
          <w:instrText xml:space="preserve"> PAGEREF _Toc114849240 \h </w:instrText>
        </w:r>
        <w:r w:rsidR="00A967C0">
          <w:rPr>
            <w:noProof/>
            <w:webHidden/>
          </w:rPr>
        </w:r>
        <w:r w:rsidR="00A967C0">
          <w:rPr>
            <w:noProof/>
            <w:webHidden/>
          </w:rPr>
          <w:fldChar w:fldCharType="separate"/>
        </w:r>
        <w:r w:rsidR="00A967C0">
          <w:rPr>
            <w:noProof/>
            <w:webHidden/>
          </w:rPr>
          <w:t>20</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41" w:history="1">
        <w:r w:rsidR="00A967C0" w:rsidRPr="00622F46">
          <w:rPr>
            <w:rStyle w:val="Hyperlink"/>
            <w:noProof/>
          </w:rPr>
          <w:t>7.7</w:t>
        </w:r>
        <w:r w:rsidR="00A967C0">
          <w:rPr>
            <w:rFonts w:asciiTheme="minorHAnsi" w:eastAsiaTheme="minorEastAsia" w:hAnsiTheme="minorHAnsi" w:cstheme="minorBidi"/>
            <w:noProof/>
            <w:color w:val="auto"/>
            <w:szCs w:val="22"/>
            <w:lang w:eastAsia="en-GB"/>
          </w:rPr>
          <w:tab/>
        </w:r>
        <w:r w:rsidR="00A967C0" w:rsidRPr="00622F46">
          <w:rPr>
            <w:rStyle w:val="Hyperlink"/>
            <w:noProof/>
          </w:rPr>
          <w:t>ABL1 kinase domain mutation</w:t>
        </w:r>
        <w:r w:rsidR="00A967C0">
          <w:rPr>
            <w:noProof/>
            <w:webHidden/>
          </w:rPr>
          <w:tab/>
        </w:r>
        <w:r w:rsidR="00A967C0">
          <w:rPr>
            <w:noProof/>
            <w:webHidden/>
          </w:rPr>
          <w:fldChar w:fldCharType="begin"/>
        </w:r>
        <w:r w:rsidR="00A967C0">
          <w:rPr>
            <w:noProof/>
            <w:webHidden/>
          </w:rPr>
          <w:instrText xml:space="preserve"> PAGEREF _Toc114849241 \h </w:instrText>
        </w:r>
        <w:r w:rsidR="00A967C0">
          <w:rPr>
            <w:noProof/>
            <w:webHidden/>
          </w:rPr>
        </w:r>
        <w:r w:rsidR="00A967C0">
          <w:rPr>
            <w:noProof/>
            <w:webHidden/>
          </w:rPr>
          <w:fldChar w:fldCharType="separate"/>
        </w:r>
        <w:r w:rsidR="00A967C0">
          <w:rPr>
            <w:noProof/>
            <w:webHidden/>
          </w:rPr>
          <w:t>21</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42" w:history="1">
        <w:r w:rsidR="00A967C0" w:rsidRPr="00622F46">
          <w:rPr>
            <w:rStyle w:val="Hyperlink"/>
            <w:noProof/>
          </w:rPr>
          <w:t>7.8</w:t>
        </w:r>
        <w:r w:rsidR="00A967C0">
          <w:rPr>
            <w:rFonts w:asciiTheme="minorHAnsi" w:eastAsiaTheme="minorEastAsia" w:hAnsiTheme="minorHAnsi" w:cstheme="minorBidi"/>
            <w:noProof/>
            <w:color w:val="auto"/>
            <w:szCs w:val="22"/>
            <w:lang w:eastAsia="en-GB"/>
          </w:rPr>
          <w:tab/>
        </w:r>
        <w:r w:rsidR="00A967C0" w:rsidRPr="00622F46">
          <w:rPr>
            <w:rStyle w:val="Hyperlink"/>
            <w:noProof/>
          </w:rPr>
          <w:t>Chimerism</w:t>
        </w:r>
        <w:r w:rsidR="00A967C0">
          <w:rPr>
            <w:noProof/>
            <w:webHidden/>
          </w:rPr>
          <w:tab/>
        </w:r>
        <w:r w:rsidR="00A967C0">
          <w:rPr>
            <w:noProof/>
            <w:webHidden/>
          </w:rPr>
          <w:fldChar w:fldCharType="begin"/>
        </w:r>
        <w:r w:rsidR="00A967C0">
          <w:rPr>
            <w:noProof/>
            <w:webHidden/>
          </w:rPr>
          <w:instrText xml:space="preserve"> PAGEREF _Toc114849242 \h </w:instrText>
        </w:r>
        <w:r w:rsidR="00A967C0">
          <w:rPr>
            <w:noProof/>
            <w:webHidden/>
          </w:rPr>
        </w:r>
        <w:r w:rsidR="00A967C0">
          <w:rPr>
            <w:noProof/>
            <w:webHidden/>
          </w:rPr>
          <w:fldChar w:fldCharType="separate"/>
        </w:r>
        <w:r w:rsidR="00A967C0">
          <w:rPr>
            <w:noProof/>
            <w:webHidden/>
          </w:rPr>
          <w:t>22</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43" w:history="1">
        <w:r w:rsidR="00A967C0" w:rsidRPr="00622F46">
          <w:rPr>
            <w:rStyle w:val="Hyperlink"/>
            <w:noProof/>
          </w:rPr>
          <w:t>7.9</w:t>
        </w:r>
        <w:r w:rsidR="00A967C0">
          <w:rPr>
            <w:rFonts w:asciiTheme="minorHAnsi" w:eastAsiaTheme="minorEastAsia" w:hAnsiTheme="minorHAnsi" w:cstheme="minorBidi"/>
            <w:noProof/>
            <w:color w:val="auto"/>
            <w:szCs w:val="22"/>
            <w:lang w:eastAsia="en-GB"/>
          </w:rPr>
          <w:tab/>
        </w:r>
        <w:r w:rsidR="00A967C0" w:rsidRPr="00622F46">
          <w:rPr>
            <w:rStyle w:val="Hyperlink"/>
            <w:noProof/>
          </w:rPr>
          <w:t>SNP-Array Karyotyping</w:t>
        </w:r>
        <w:r w:rsidR="00A967C0">
          <w:rPr>
            <w:noProof/>
            <w:webHidden/>
          </w:rPr>
          <w:tab/>
        </w:r>
        <w:r w:rsidR="00A967C0">
          <w:rPr>
            <w:noProof/>
            <w:webHidden/>
          </w:rPr>
          <w:fldChar w:fldCharType="begin"/>
        </w:r>
        <w:r w:rsidR="00A967C0">
          <w:rPr>
            <w:noProof/>
            <w:webHidden/>
          </w:rPr>
          <w:instrText xml:space="preserve"> PAGEREF _Toc114849243 \h </w:instrText>
        </w:r>
        <w:r w:rsidR="00A967C0">
          <w:rPr>
            <w:noProof/>
            <w:webHidden/>
          </w:rPr>
        </w:r>
        <w:r w:rsidR="00A967C0">
          <w:rPr>
            <w:noProof/>
            <w:webHidden/>
          </w:rPr>
          <w:fldChar w:fldCharType="separate"/>
        </w:r>
        <w:r w:rsidR="00A967C0">
          <w:rPr>
            <w:noProof/>
            <w:webHidden/>
          </w:rPr>
          <w:t>22</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44" w:history="1">
        <w:r w:rsidR="00A967C0" w:rsidRPr="00622F46">
          <w:rPr>
            <w:rStyle w:val="Hyperlink"/>
            <w:noProof/>
          </w:rPr>
          <w:t>7.10</w:t>
        </w:r>
        <w:r w:rsidR="00A967C0">
          <w:rPr>
            <w:rFonts w:asciiTheme="minorHAnsi" w:eastAsiaTheme="minorEastAsia" w:hAnsiTheme="minorHAnsi" w:cstheme="minorBidi"/>
            <w:noProof/>
            <w:color w:val="auto"/>
            <w:szCs w:val="22"/>
            <w:lang w:eastAsia="en-GB"/>
          </w:rPr>
          <w:tab/>
        </w:r>
        <w:r w:rsidR="00A967C0" w:rsidRPr="00622F46">
          <w:rPr>
            <w:rStyle w:val="Hyperlink"/>
            <w:noProof/>
          </w:rPr>
          <w:t>Translocation assays</w:t>
        </w:r>
        <w:r w:rsidR="00A967C0">
          <w:rPr>
            <w:noProof/>
            <w:webHidden/>
          </w:rPr>
          <w:tab/>
        </w:r>
        <w:r w:rsidR="00A967C0">
          <w:rPr>
            <w:noProof/>
            <w:webHidden/>
          </w:rPr>
          <w:fldChar w:fldCharType="begin"/>
        </w:r>
        <w:r w:rsidR="00A967C0">
          <w:rPr>
            <w:noProof/>
            <w:webHidden/>
          </w:rPr>
          <w:instrText xml:space="preserve"> PAGEREF _Toc114849244 \h </w:instrText>
        </w:r>
        <w:r w:rsidR="00A967C0">
          <w:rPr>
            <w:noProof/>
            <w:webHidden/>
          </w:rPr>
        </w:r>
        <w:r w:rsidR="00A967C0">
          <w:rPr>
            <w:noProof/>
            <w:webHidden/>
          </w:rPr>
          <w:fldChar w:fldCharType="separate"/>
        </w:r>
        <w:r w:rsidR="00A967C0">
          <w:rPr>
            <w:noProof/>
            <w:webHidden/>
          </w:rPr>
          <w:t>24</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45" w:history="1">
        <w:r w:rsidR="00A967C0" w:rsidRPr="00622F46">
          <w:rPr>
            <w:rStyle w:val="Hyperlink"/>
            <w:noProof/>
          </w:rPr>
          <w:t>BCR::ABL1 t(9;22)</w:t>
        </w:r>
        <w:r w:rsidR="00A967C0">
          <w:rPr>
            <w:noProof/>
            <w:webHidden/>
          </w:rPr>
          <w:tab/>
        </w:r>
        <w:r w:rsidR="00A967C0">
          <w:rPr>
            <w:noProof/>
            <w:webHidden/>
          </w:rPr>
          <w:fldChar w:fldCharType="begin"/>
        </w:r>
        <w:r w:rsidR="00A967C0">
          <w:rPr>
            <w:noProof/>
            <w:webHidden/>
          </w:rPr>
          <w:instrText xml:space="preserve"> PAGEREF _Toc114849245 \h </w:instrText>
        </w:r>
        <w:r w:rsidR="00A967C0">
          <w:rPr>
            <w:noProof/>
            <w:webHidden/>
          </w:rPr>
        </w:r>
        <w:r w:rsidR="00A967C0">
          <w:rPr>
            <w:noProof/>
            <w:webHidden/>
          </w:rPr>
          <w:fldChar w:fldCharType="separate"/>
        </w:r>
        <w:r w:rsidR="00A967C0">
          <w:rPr>
            <w:noProof/>
            <w:webHidden/>
          </w:rPr>
          <w:t>24</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46" w:history="1">
        <w:r w:rsidR="00A967C0" w:rsidRPr="00622F46">
          <w:rPr>
            <w:rStyle w:val="Hyperlink"/>
            <w:noProof/>
          </w:rPr>
          <w:t>RUNXI::RUNXTI t(8;21)</w:t>
        </w:r>
        <w:r w:rsidR="00A967C0">
          <w:rPr>
            <w:noProof/>
            <w:webHidden/>
          </w:rPr>
          <w:tab/>
        </w:r>
        <w:r w:rsidR="00A967C0">
          <w:rPr>
            <w:noProof/>
            <w:webHidden/>
          </w:rPr>
          <w:fldChar w:fldCharType="begin"/>
        </w:r>
        <w:r w:rsidR="00A967C0">
          <w:rPr>
            <w:noProof/>
            <w:webHidden/>
          </w:rPr>
          <w:instrText xml:space="preserve"> PAGEREF _Toc114849246 \h </w:instrText>
        </w:r>
        <w:r w:rsidR="00A967C0">
          <w:rPr>
            <w:noProof/>
            <w:webHidden/>
          </w:rPr>
        </w:r>
        <w:r w:rsidR="00A967C0">
          <w:rPr>
            <w:noProof/>
            <w:webHidden/>
          </w:rPr>
          <w:fldChar w:fldCharType="separate"/>
        </w:r>
        <w:r w:rsidR="00A967C0">
          <w:rPr>
            <w:noProof/>
            <w:webHidden/>
          </w:rPr>
          <w:t>25</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47" w:history="1">
        <w:r w:rsidR="00A967C0" w:rsidRPr="00622F46">
          <w:rPr>
            <w:rStyle w:val="Hyperlink"/>
            <w:noProof/>
          </w:rPr>
          <w:t>PML::RARA; t(15;17)</w:t>
        </w:r>
        <w:r w:rsidR="00A967C0">
          <w:rPr>
            <w:noProof/>
            <w:webHidden/>
          </w:rPr>
          <w:tab/>
        </w:r>
        <w:r w:rsidR="00A967C0">
          <w:rPr>
            <w:noProof/>
            <w:webHidden/>
          </w:rPr>
          <w:fldChar w:fldCharType="begin"/>
        </w:r>
        <w:r w:rsidR="00A967C0">
          <w:rPr>
            <w:noProof/>
            <w:webHidden/>
          </w:rPr>
          <w:instrText xml:space="preserve"> PAGEREF _Toc114849247 \h </w:instrText>
        </w:r>
        <w:r w:rsidR="00A967C0">
          <w:rPr>
            <w:noProof/>
            <w:webHidden/>
          </w:rPr>
        </w:r>
        <w:r w:rsidR="00A967C0">
          <w:rPr>
            <w:noProof/>
            <w:webHidden/>
          </w:rPr>
          <w:fldChar w:fldCharType="separate"/>
        </w:r>
        <w:r w:rsidR="00A967C0">
          <w:rPr>
            <w:noProof/>
            <w:webHidden/>
          </w:rPr>
          <w:t>25</w:t>
        </w:r>
        <w:r w:rsidR="00A967C0">
          <w:rPr>
            <w:noProof/>
            <w:webHidden/>
          </w:rPr>
          <w:fldChar w:fldCharType="end"/>
        </w:r>
      </w:hyperlink>
    </w:p>
    <w:p w:rsidR="00A967C0" w:rsidRDefault="00B54957">
      <w:pPr>
        <w:pStyle w:val="TOC2"/>
        <w:rPr>
          <w:rFonts w:asciiTheme="minorHAnsi" w:eastAsiaTheme="minorEastAsia" w:hAnsiTheme="minorHAnsi" w:cstheme="minorBidi"/>
          <w:noProof/>
          <w:color w:val="auto"/>
          <w:szCs w:val="22"/>
          <w:lang w:eastAsia="en-GB"/>
        </w:rPr>
      </w:pPr>
      <w:hyperlink w:anchor="_Toc114849248" w:history="1">
        <w:r w:rsidR="00A967C0" w:rsidRPr="00622F46">
          <w:rPr>
            <w:rStyle w:val="Hyperlink"/>
            <w:noProof/>
          </w:rPr>
          <w:t>CBFB::MYH11 INV(16)</w:t>
        </w:r>
        <w:r w:rsidR="00A967C0">
          <w:rPr>
            <w:noProof/>
            <w:webHidden/>
          </w:rPr>
          <w:tab/>
        </w:r>
        <w:r w:rsidR="00A967C0">
          <w:rPr>
            <w:noProof/>
            <w:webHidden/>
          </w:rPr>
          <w:fldChar w:fldCharType="begin"/>
        </w:r>
        <w:r w:rsidR="00A967C0">
          <w:rPr>
            <w:noProof/>
            <w:webHidden/>
          </w:rPr>
          <w:instrText xml:space="preserve"> PAGEREF _Toc114849248 \h </w:instrText>
        </w:r>
        <w:r w:rsidR="00A967C0">
          <w:rPr>
            <w:noProof/>
            <w:webHidden/>
          </w:rPr>
        </w:r>
        <w:r w:rsidR="00A967C0">
          <w:rPr>
            <w:noProof/>
            <w:webHidden/>
          </w:rPr>
          <w:fldChar w:fldCharType="separate"/>
        </w:r>
        <w:r w:rsidR="00A967C0">
          <w:rPr>
            <w:noProof/>
            <w:webHidden/>
          </w:rPr>
          <w:t>26</w:t>
        </w:r>
        <w:r w:rsidR="00A967C0">
          <w:rPr>
            <w:noProof/>
            <w:webHidden/>
          </w:rPr>
          <w:fldChar w:fldCharType="end"/>
        </w:r>
      </w:hyperlink>
    </w:p>
    <w:p w:rsidR="00E56818" w:rsidRPr="00406724" w:rsidRDefault="00E56818" w:rsidP="00E56818">
      <w:pPr>
        <w:tabs>
          <w:tab w:val="left" w:pos="-720"/>
        </w:tabs>
        <w:suppressAutoHyphens/>
        <w:rPr>
          <w:rFonts w:ascii="Arial" w:hAnsi="Arial"/>
          <w:b/>
          <w:spacing w:val="-3"/>
        </w:rPr>
      </w:pPr>
      <w:r w:rsidRPr="00E56818">
        <w:rPr>
          <w:rFonts w:ascii="Arial" w:hAnsi="Arial"/>
          <w:b/>
          <w:spacing w:val="-3"/>
          <w:sz w:val="24"/>
        </w:rPr>
        <w:fldChar w:fldCharType="end"/>
      </w:r>
    </w:p>
    <w:p w:rsidR="00E56818" w:rsidRPr="00406724" w:rsidRDefault="00E56818" w:rsidP="00E56818">
      <w:pPr>
        <w:pStyle w:val="Heading1"/>
        <w:keepLines w:val="0"/>
        <w:widowControl w:val="0"/>
        <w:numPr>
          <w:ilvl w:val="0"/>
          <w:numId w:val="33"/>
        </w:numPr>
        <w:shd w:val="clear" w:color="auto" w:fill="D9D9D9"/>
        <w:tabs>
          <w:tab w:val="left" w:pos="-720"/>
        </w:tabs>
        <w:suppressAutoHyphens/>
        <w:overflowPunct w:val="0"/>
        <w:autoSpaceDE w:val="0"/>
        <w:autoSpaceDN w:val="0"/>
        <w:adjustRightInd w:val="0"/>
        <w:spacing w:before="0" w:after="0"/>
        <w:jc w:val="both"/>
        <w:textAlignment w:val="baseline"/>
        <w:rPr>
          <w:bCs/>
        </w:rPr>
      </w:pPr>
      <w:r>
        <w:rPr>
          <w:b w:val="0"/>
          <w:sz w:val="22"/>
        </w:rPr>
        <w:br w:type="page"/>
      </w:r>
      <w:bookmarkStart w:id="2" w:name="_Toc114849209"/>
      <w:r>
        <w:rPr>
          <w:bCs/>
        </w:rPr>
        <w:lastRenderedPageBreak/>
        <w:t>General I</w:t>
      </w:r>
      <w:r w:rsidRPr="00406724">
        <w:rPr>
          <w:bCs/>
        </w:rPr>
        <w:t>nformation.</w:t>
      </w:r>
      <w:bookmarkEnd w:id="2"/>
    </w:p>
    <w:p w:rsidR="00E56818" w:rsidRPr="00406724" w:rsidRDefault="00E56818" w:rsidP="00E56818">
      <w:pPr>
        <w:spacing w:after="0"/>
      </w:pPr>
    </w:p>
    <w:p w:rsidR="00E56818" w:rsidRPr="00E56818" w:rsidRDefault="00E56818" w:rsidP="00E56818">
      <w:pPr>
        <w:spacing w:after="0"/>
        <w:rPr>
          <w:rFonts w:ascii="Arial" w:hAnsi="Arial"/>
          <w:b/>
          <w:sz w:val="24"/>
        </w:rPr>
      </w:pPr>
      <w:r w:rsidRPr="00E56818">
        <w:rPr>
          <w:rFonts w:ascii="Arial" w:hAnsi="Arial"/>
          <w:b/>
          <w:sz w:val="24"/>
        </w:rPr>
        <w:t>South East Haematological Malignancy Diagnostic Service (SE-HMDS)</w:t>
      </w:r>
    </w:p>
    <w:p w:rsidR="00E56818" w:rsidRPr="00B61456" w:rsidRDefault="00E56818" w:rsidP="00E56818">
      <w:pPr>
        <w:rPr>
          <w:rFonts w:ascii="Arial" w:hAnsi="Arial"/>
          <w:spacing w:val="-3"/>
          <w:sz w:val="20"/>
          <w:szCs w:val="20"/>
        </w:rPr>
      </w:pPr>
      <w:r w:rsidRPr="00B61456">
        <w:rPr>
          <w:rFonts w:ascii="Arial" w:hAnsi="Arial"/>
          <w:color w:val="auto"/>
          <w:spacing w:val="-3"/>
          <w:sz w:val="20"/>
          <w:szCs w:val="20"/>
        </w:rPr>
        <w:t xml:space="preserve">King's College Hospital has been a Regional Centre for diagnostic services for over 20 years, providing Immunophenotyping, Cytogenetic and Molecular Diagnostic services to haematologists; covering most of Southeast England, with populations varying from densely urban to rural with wide variations in levels of affluence and deprivation. Diagnostic laboratories embedded in the SE-HMDS are owned and managed by </w:t>
      </w:r>
      <w:r w:rsidR="006831FC">
        <w:rPr>
          <w:rFonts w:ascii="Arial" w:hAnsi="Arial"/>
          <w:color w:val="auto"/>
          <w:spacing w:val="-3"/>
          <w:sz w:val="20"/>
          <w:szCs w:val="20"/>
        </w:rPr>
        <w:t>Synnovis</w:t>
      </w:r>
      <w:r w:rsidRPr="00B61456">
        <w:rPr>
          <w:rFonts w:ascii="Arial" w:hAnsi="Arial"/>
          <w:color w:val="auto"/>
          <w:spacing w:val="-3"/>
          <w:sz w:val="20"/>
          <w:szCs w:val="20"/>
        </w:rPr>
        <w:t xml:space="preserve"> LLP. The LMH laboratory provides genomics services to the South East Genomics Laboratory Hub. (SE-GLH)</w:t>
      </w:r>
    </w:p>
    <w:p w:rsidR="00E56818" w:rsidRPr="00B61456" w:rsidRDefault="00E56818" w:rsidP="00E56818">
      <w:pPr>
        <w:pStyle w:val="E-mailSignature"/>
        <w:jc w:val="both"/>
        <w:rPr>
          <w:rFonts w:cs="Arial"/>
          <w:spacing w:val="-3"/>
        </w:rPr>
      </w:pPr>
      <w:r w:rsidRPr="00B61456">
        <w:rPr>
          <w:rFonts w:cs="Arial"/>
          <w:spacing w:val="-3"/>
        </w:rPr>
        <w:t xml:space="preserve">There has been a steady rise in referrals (now over 17,000 samples per year) to the </w:t>
      </w:r>
      <w:r w:rsidR="006831FC">
        <w:rPr>
          <w:rFonts w:cs="Arial"/>
          <w:spacing w:val="-3"/>
        </w:rPr>
        <w:t>Synnovis</w:t>
      </w:r>
      <w:r w:rsidRPr="00B61456">
        <w:rPr>
          <w:rFonts w:cs="Arial"/>
          <w:spacing w:val="-3"/>
        </w:rPr>
        <w:t xml:space="preserve"> laboratories at King's, from clinicians who require increasingly sophisticated and accurate haematological diagnoses, for diagnosis and disease monitoring.</w:t>
      </w:r>
    </w:p>
    <w:p w:rsidR="00E56818" w:rsidRPr="00B61456" w:rsidRDefault="00E56818" w:rsidP="00E56818">
      <w:pPr>
        <w:pStyle w:val="E-mailSignature"/>
        <w:jc w:val="both"/>
        <w:rPr>
          <w:rFonts w:cs="Arial"/>
          <w:b/>
          <w:spacing w:val="-3"/>
        </w:rPr>
      </w:pPr>
      <w:r w:rsidRPr="00B61456">
        <w:rPr>
          <w:rFonts w:cs="Arial"/>
          <w:b/>
          <w:spacing w:val="-3"/>
        </w:rPr>
        <w:t>Key features:</w:t>
      </w:r>
    </w:p>
    <w:p w:rsidR="00E56818" w:rsidRPr="00B61456" w:rsidRDefault="00E56818" w:rsidP="00E56818">
      <w:pPr>
        <w:pStyle w:val="E-mailSignature"/>
        <w:ind w:left="720" w:hanging="720"/>
        <w:rPr>
          <w:rFonts w:cs="Arial"/>
          <w:spacing w:val="-3"/>
        </w:rPr>
      </w:pPr>
      <w:r w:rsidRPr="00B61456">
        <w:rPr>
          <w:rFonts w:cs="Arial"/>
          <w:spacing w:val="-3"/>
        </w:rPr>
        <w:t>•</w:t>
      </w:r>
      <w:r w:rsidRPr="00B61456">
        <w:rPr>
          <w:rFonts w:cs="Arial"/>
          <w:spacing w:val="-3"/>
        </w:rPr>
        <w:tab/>
        <w:t>LMH provides a wide repertoire of translocation detection, mutation screening and quantitative monitoring for Minimal Residual Disease in myeloid and lymphoid diseases.</w:t>
      </w:r>
    </w:p>
    <w:p w:rsidR="00E56818" w:rsidRPr="00B61456" w:rsidRDefault="00E56818" w:rsidP="00E56818">
      <w:pPr>
        <w:pStyle w:val="E-mailSignature"/>
        <w:ind w:left="720" w:hanging="720"/>
        <w:rPr>
          <w:rFonts w:cs="Arial"/>
          <w:spacing w:val="-3"/>
        </w:rPr>
      </w:pPr>
      <w:r w:rsidRPr="00B61456">
        <w:rPr>
          <w:rFonts w:cs="Arial"/>
          <w:spacing w:val="-3"/>
        </w:rPr>
        <w:t>•</w:t>
      </w:r>
      <w:r w:rsidRPr="00B61456">
        <w:rPr>
          <w:rFonts w:cs="Arial"/>
          <w:spacing w:val="-3"/>
        </w:rPr>
        <w:tab/>
        <w:t xml:space="preserve">Post-transplant chimerism analysis with a 16 point genetic profile provides sensitive monitoring of engraftment to guide clinical intervention with DLI. </w:t>
      </w:r>
    </w:p>
    <w:p w:rsidR="00E56818" w:rsidRPr="00B61456" w:rsidRDefault="00E56818" w:rsidP="00E56818">
      <w:pPr>
        <w:pStyle w:val="E-mailSignature"/>
        <w:ind w:left="720" w:hanging="720"/>
        <w:rPr>
          <w:rFonts w:cs="Arial"/>
          <w:spacing w:val="-3"/>
        </w:rPr>
      </w:pPr>
      <w:r w:rsidRPr="00B61456">
        <w:rPr>
          <w:rFonts w:cs="Arial"/>
          <w:spacing w:val="-3"/>
        </w:rPr>
        <w:t>•</w:t>
      </w:r>
      <w:r w:rsidRPr="00B61456">
        <w:rPr>
          <w:rFonts w:cs="Arial"/>
          <w:spacing w:val="-3"/>
        </w:rPr>
        <w:tab/>
        <w:t>With the publication of the National Institute for Clinical Excellence (NICE) guidance on the cancer services, 'Improving Outcomes in Haematological Cancers' (IOG), King's has made the logical extension to develop the Regional Specialist Diagnostic Services as outlined in the guidance.</w:t>
      </w:r>
    </w:p>
    <w:p w:rsidR="00E56818" w:rsidRPr="00B61456" w:rsidRDefault="00E56818" w:rsidP="00E56818">
      <w:pPr>
        <w:pStyle w:val="E-mailSignature"/>
        <w:ind w:left="720" w:hanging="720"/>
        <w:rPr>
          <w:rFonts w:cs="Arial"/>
          <w:spacing w:val="-3"/>
        </w:rPr>
      </w:pPr>
      <w:r w:rsidRPr="00B61456">
        <w:rPr>
          <w:rFonts w:cs="Arial"/>
          <w:spacing w:val="-3"/>
        </w:rPr>
        <w:t>•</w:t>
      </w:r>
      <w:r w:rsidRPr="00B61456">
        <w:rPr>
          <w:rFonts w:cs="Arial"/>
          <w:spacing w:val="-3"/>
        </w:rPr>
        <w:tab/>
        <w:t>This is also consistent with the Carter Report recommendations on NHS laboratory services in England with regard to building capacity and providing an enhanced level of equipment and expertise. King's has appointed four full-time SE-HMDS Consultants to develop these services and providing NICE IOG-compliant 'whole-system' integrated diagnostic and reporting processes capable of producing a final electronic integrated diagnostic report. This is achieved by developing a multidisciplinary team of specialist pathologists who provide a high-volume, rapid turn-round, integrated diagnostic service in a single centre.</w:t>
      </w:r>
    </w:p>
    <w:p w:rsidR="00E56818" w:rsidRPr="00B61456" w:rsidRDefault="00E56818" w:rsidP="00E56818">
      <w:pPr>
        <w:pStyle w:val="E-mailSignature"/>
        <w:ind w:left="720" w:hanging="720"/>
        <w:rPr>
          <w:rFonts w:cs="Arial"/>
          <w:spacing w:val="-3"/>
        </w:rPr>
      </w:pPr>
      <w:r w:rsidRPr="00B61456">
        <w:rPr>
          <w:rFonts w:cs="Arial"/>
          <w:spacing w:val="-3"/>
        </w:rPr>
        <w:t>•</w:t>
      </w:r>
      <w:r w:rsidRPr="00B61456">
        <w:rPr>
          <w:rFonts w:cs="Arial"/>
          <w:spacing w:val="-3"/>
        </w:rPr>
        <w:tab/>
        <w:t>At the time of writing the SE-HMDS laboratories are just beginning to participate in the national whole Genome Sequencing (WGS) service.</w:t>
      </w:r>
    </w:p>
    <w:p w:rsidR="00E56818" w:rsidRPr="00E56818" w:rsidRDefault="00E56818" w:rsidP="00E56818">
      <w:pPr>
        <w:pStyle w:val="E-mailSignature"/>
        <w:ind w:left="720" w:hanging="720"/>
        <w:rPr>
          <w:rFonts w:cs="Arial"/>
          <w:spacing w:val="-3"/>
        </w:rPr>
      </w:pPr>
    </w:p>
    <w:p w:rsidR="00E56818" w:rsidRPr="00E56818" w:rsidRDefault="00E56818" w:rsidP="00E56818">
      <w:pPr>
        <w:pStyle w:val="E-mailSignature"/>
        <w:jc w:val="both"/>
        <w:rPr>
          <w:rFonts w:cs="Arial"/>
          <w:b/>
          <w:spacing w:val="-3"/>
        </w:rPr>
      </w:pPr>
      <w:r w:rsidRPr="00E56818">
        <w:rPr>
          <w:rFonts w:cs="Arial"/>
          <w:b/>
          <w:spacing w:val="-3"/>
        </w:rPr>
        <w:t>We aim to provide:</w:t>
      </w:r>
    </w:p>
    <w:p w:rsidR="00E56818" w:rsidRPr="00E56818" w:rsidRDefault="00E56818" w:rsidP="00E56818">
      <w:pPr>
        <w:pStyle w:val="E-mailSignature"/>
        <w:jc w:val="both"/>
        <w:rPr>
          <w:rFonts w:cs="Arial"/>
          <w:spacing w:val="-3"/>
        </w:rPr>
      </w:pPr>
      <w:r w:rsidRPr="00E56818">
        <w:rPr>
          <w:rFonts w:cs="Arial"/>
          <w:spacing w:val="-3"/>
        </w:rPr>
        <w:t>•</w:t>
      </w:r>
      <w:r w:rsidRPr="00E56818">
        <w:rPr>
          <w:rFonts w:cs="Arial"/>
          <w:spacing w:val="-3"/>
        </w:rPr>
        <w:tab/>
        <w:t>Efficient, comprehensive diagnostic services for haematological malignancies.</w:t>
      </w:r>
    </w:p>
    <w:p w:rsidR="00E56818" w:rsidRPr="00E56818" w:rsidRDefault="00E56818" w:rsidP="00E56818">
      <w:pPr>
        <w:pStyle w:val="E-mailSignature"/>
        <w:ind w:left="720" w:hanging="720"/>
        <w:jc w:val="both"/>
        <w:rPr>
          <w:rFonts w:cs="Arial"/>
          <w:spacing w:val="-3"/>
        </w:rPr>
      </w:pPr>
      <w:r w:rsidRPr="00E56818">
        <w:rPr>
          <w:rFonts w:cs="Arial"/>
          <w:spacing w:val="-3"/>
        </w:rPr>
        <w:t>•</w:t>
      </w:r>
      <w:r w:rsidRPr="00E56818">
        <w:rPr>
          <w:rFonts w:cs="Arial"/>
          <w:spacing w:val="-3"/>
        </w:rPr>
        <w:tab/>
        <w:t xml:space="preserve">An effective interface with clinical Haemato-Oncology services through multidisciplinary meetings (MDM). </w:t>
      </w:r>
    </w:p>
    <w:p w:rsidR="00E56818" w:rsidRPr="00E56818" w:rsidRDefault="00E56818" w:rsidP="00E56818">
      <w:pPr>
        <w:pStyle w:val="E-mailSignature"/>
        <w:ind w:left="709" w:hanging="709"/>
        <w:jc w:val="both"/>
        <w:rPr>
          <w:rFonts w:cs="Arial"/>
          <w:spacing w:val="-3"/>
        </w:rPr>
      </w:pPr>
      <w:r w:rsidRPr="00E56818">
        <w:rPr>
          <w:rFonts w:cs="Arial"/>
          <w:spacing w:val="-3"/>
        </w:rPr>
        <w:t>•</w:t>
      </w:r>
      <w:r w:rsidRPr="00E56818">
        <w:rPr>
          <w:rFonts w:cs="Arial"/>
          <w:spacing w:val="-3"/>
        </w:rPr>
        <w:tab/>
        <w:t xml:space="preserve">Research, development, evaluation and the introduction of new diagnostic techniques. </w:t>
      </w:r>
    </w:p>
    <w:p w:rsidR="00E56818" w:rsidRPr="00E56818" w:rsidRDefault="00E56818" w:rsidP="00E56818">
      <w:pPr>
        <w:pStyle w:val="E-mailSignature"/>
        <w:jc w:val="both"/>
        <w:rPr>
          <w:rFonts w:cs="Arial"/>
          <w:spacing w:val="-3"/>
        </w:rPr>
      </w:pPr>
      <w:r w:rsidRPr="00E56818">
        <w:rPr>
          <w:rFonts w:cs="Arial"/>
          <w:spacing w:val="-3"/>
        </w:rPr>
        <w:t>•</w:t>
      </w:r>
      <w:r w:rsidRPr="00E56818">
        <w:rPr>
          <w:rFonts w:cs="Arial"/>
          <w:spacing w:val="-3"/>
        </w:rPr>
        <w:tab/>
        <w:t xml:space="preserve">Rapid response to technology changes and clinical needs. </w:t>
      </w:r>
    </w:p>
    <w:p w:rsidR="00E56818" w:rsidRPr="00E56818" w:rsidRDefault="00E56818" w:rsidP="00E56818">
      <w:pPr>
        <w:pStyle w:val="E-mailSignature"/>
        <w:jc w:val="both"/>
        <w:rPr>
          <w:rFonts w:cs="Arial"/>
          <w:spacing w:val="-3"/>
        </w:rPr>
      </w:pPr>
      <w:r w:rsidRPr="00E56818">
        <w:rPr>
          <w:rFonts w:cs="Arial"/>
          <w:spacing w:val="-3"/>
        </w:rPr>
        <w:t>•</w:t>
      </w:r>
      <w:r w:rsidRPr="00E56818">
        <w:rPr>
          <w:rFonts w:cs="Arial"/>
          <w:spacing w:val="-3"/>
        </w:rPr>
        <w:tab/>
        <w:t>Support to clinical and epidemiological research.</w:t>
      </w:r>
    </w:p>
    <w:p w:rsidR="00E56818" w:rsidRPr="00E56818" w:rsidRDefault="00E56818" w:rsidP="00E56818">
      <w:pPr>
        <w:pStyle w:val="E-mailSignature"/>
        <w:jc w:val="both"/>
        <w:rPr>
          <w:rFonts w:cs="Arial"/>
          <w:spacing w:val="-3"/>
        </w:rPr>
      </w:pPr>
      <w:r w:rsidRPr="00E56818">
        <w:rPr>
          <w:rFonts w:cs="Arial"/>
          <w:spacing w:val="-3"/>
        </w:rPr>
        <w:t>•</w:t>
      </w:r>
      <w:r w:rsidRPr="00E56818">
        <w:rPr>
          <w:rFonts w:cs="Arial"/>
          <w:spacing w:val="-3"/>
        </w:rPr>
        <w:tab/>
        <w:t>Education and training programmes for clinical and scientific staff.</w:t>
      </w:r>
    </w:p>
    <w:p w:rsidR="00E56818" w:rsidRPr="00E56818" w:rsidRDefault="00E56818" w:rsidP="00E56818">
      <w:pPr>
        <w:pStyle w:val="E-mailSignature"/>
        <w:jc w:val="both"/>
        <w:rPr>
          <w:rFonts w:cs="Arial"/>
          <w:spacing w:val="-3"/>
        </w:rPr>
      </w:pP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3" w:name="_Toc114849210"/>
      <w:r w:rsidRPr="00E56818">
        <w:t>SE-HMDS Laboratory for Molecular Haemato-Oncology (LMH) overview</w:t>
      </w:r>
      <w:bookmarkEnd w:id="3"/>
    </w:p>
    <w:p w:rsidR="00E56818" w:rsidRPr="00B61456" w:rsidRDefault="00E56818" w:rsidP="00E56818">
      <w:pPr>
        <w:rPr>
          <w:rFonts w:ascii="Arial" w:hAnsi="Arial"/>
          <w:sz w:val="20"/>
          <w:szCs w:val="20"/>
        </w:rPr>
      </w:pPr>
      <w:r w:rsidRPr="00B61456">
        <w:rPr>
          <w:rFonts w:ascii="Arial" w:hAnsi="Arial"/>
          <w:color w:val="auto"/>
          <w:spacing w:val="-3"/>
          <w:sz w:val="20"/>
          <w:szCs w:val="20"/>
        </w:rPr>
        <w:t xml:space="preserve">LMH is </w:t>
      </w:r>
      <w:r w:rsidRPr="00B61456">
        <w:rPr>
          <w:rFonts w:ascii="Arial" w:hAnsi="Arial"/>
          <w:sz w:val="20"/>
          <w:szCs w:val="20"/>
        </w:rPr>
        <w:t xml:space="preserve">under the control of </w:t>
      </w:r>
      <w:r w:rsidR="006831FC" w:rsidRPr="006831FC">
        <w:rPr>
          <w:rFonts w:ascii="Arial" w:hAnsi="Arial"/>
          <w:spacing w:val="-3"/>
          <w:sz w:val="20"/>
          <w:szCs w:val="20"/>
        </w:rPr>
        <w:t>Synnovis</w:t>
      </w:r>
      <w:r w:rsidR="006831FC" w:rsidRPr="00B61456">
        <w:rPr>
          <w:rFonts w:ascii="Arial" w:hAnsi="Arial"/>
          <w:sz w:val="20"/>
          <w:szCs w:val="20"/>
        </w:rPr>
        <w:t xml:space="preserve"> </w:t>
      </w:r>
      <w:r w:rsidR="006831FC">
        <w:rPr>
          <w:rFonts w:ascii="Arial" w:hAnsi="Arial"/>
          <w:sz w:val="20"/>
          <w:szCs w:val="20"/>
        </w:rPr>
        <w:t>G</w:t>
      </w:r>
      <w:r w:rsidRPr="00B61456">
        <w:rPr>
          <w:rFonts w:ascii="Arial" w:hAnsi="Arial"/>
          <w:sz w:val="20"/>
          <w:szCs w:val="20"/>
        </w:rPr>
        <w:t xml:space="preserve">roup LLP. </w:t>
      </w:r>
      <w:r w:rsidR="006831FC">
        <w:rPr>
          <w:rFonts w:ascii="Arial" w:hAnsi="Arial"/>
          <w:sz w:val="20"/>
          <w:szCs w:val="20"/>
        </w:rPr>
        <w:t>Synnovis</w:t>
      </w:r>
      <w:r w:rsidRPr="00B61456">
        <w:rPr>
          <w:rFonts w:ascii="Arial" w:hAnsi="Arial"/>
          <w:sz w:val="20"/>
          <w:szCs w:val="20"/>
        </w:rPr>
        <w:t xml:space="preserve"> Group LLP is a limited liability partnership between Guy's and St Thomas' NHS Foundation Trust and King’s College Hospital NHS Foundation Trust and SYNLAB. </w:t>
      </w:r>
      <w:r w:rsidR="006831FC" w:rsidRPr="006831FC">
        <w:rPr>
          <w:rFonts w:ascii="Arial" w:hAnsi="Arial"/>
          <w:spacing w:val="-3"/>
          <w:sz w:val="20"/>
          <w:szCs w:val="20"/>
        </w:rPr>
        <w:t>Synnovis</w:t>
      </w:r>
      <w:r w:rsidR="006831FC" w:rsidRPr="00B61456">
        <w:rPr>
          <w:rFonts w:ascii="Arial" w:hAnsi="Arial"/>
          <w:sz w:val="20"/>
          <w:szCs w:val="20"/>
        </w:rPr>
        <w:t xml:space="preserve"> </w:t>
      </w:r>
      <w:r w:rsidRPr="00B61456">
        <w:rPr>
          <w:rFonts w:ascii="Arial" w:hAnsi="Arial"/>
          <w:sz w:val="20"/>
          <w:szCs w:val="20"/>
        </w:rPr>
        <w:t xml:space="preserve">Analytics and </w:t>
      </w:r>
      <w:r w:rsidR="006831FC" w:rsidRPr="006831FC">
        <w:rPr>
          <w:rFonts w:ascii="Arial" w:hAnsi="Arial"/>
          <w:spacing w:val="-3"/>
          <w:sz w:val="20"/>
          <w:szCs w:val="20"/>
        </w:rPr>
        <w:t>Synnovis</w:t>
      </w:r>
      <w:r w:rsidR="006831FC" w:rsidRPr="00B61456">
        <w:rPr>
          <w:rFonts w:ascii="Arial" w:hAnsi="Arial"/>
          <w:sz w:val="20"/>
          <w:szCs w:val="20"/>
        </w:rPr>
        <w:t xml:space="preserve"> </w:t>
      </w:r>
      <w:r w:rsidRPr="00B61456">
        <w:rPr>
          <w:rFonts w:ascii="Arial" w:hAnsi="Arial"/>
          <w:sz w:val="20"/>
          <w:szCs w:val="20"/>
        </w:rPr>
        <w:t xml:space="preserve">Services sit within the </w:t>
      </w:r>
      <w:r w:rsidR="006831FC" w:rsidRPr="006831FC">
        <w:rPr>
          <w:rFonts w:ascii="Arial" w:hAnsi="Arial"/>
          <w:spacing w:val="-3"/>
          <w:sz w:val="20"/>
          <w:szCs w:val="20"/>
        </w:rPr>
        <w:t>Synnovis</w:t>
      </w:r>
      <w:r w:rsidR="006831FC" w:rsidRPr="00B61456">
        <w:rPr>
          <w:rFonts w:ascii="Arial" w:hAnsi="Arial"/>
          <w:sz w:val="20"/>
          <w:szCs w:val="20"/>
        </w:rPr>
        <w:t xml:space="preserve"> </w:t>
      </w:r>
      <w:r w:rsidRPr="00B61456">
        <w:rPr>
          <w:rFonts w:ascii="Arial" w:hAnsi="Arial"/>
          <w:sz w:val="20"/>
          <w:szCs w:val="20"/>
        </w:rPr>
        <w:t xml:space="preserve">Group: the LMH Service sits within </w:t>
      </w:r>
      <w:r w:rsidR="006831FC" w:rsidRPr="006831FC">
        <w:rPr>
          <w:rFonts w:ascii="Arial" w:hAnsi="Arial"/>
          <w:spacing w:val="-3"/>
          <w:sz w:val="20"/>
          <w:szCs w:val="20"/>
        </w:rPr>
        <w:t>Synnovis</w:t>
      </w:r>
      <w:r w:rsidR="006831FC" w:rsidRPr="00B61456">
        <w:rPr>
          <w:rFonts w:ascii="Arial" w:hAnsi="Arial"/>
          <w:sz w:val="20"/>
          <w:szCs w:val="20"/>
        </w:rPr>
        <w:t xml:space="preserve"> </w:t>
      </w:r>
      <w:r w:rsidRPr="00B61456">
        <w:rPr>
          <w:rFonts w:ascii="Arial" w:hAnsi="Arial"/>
          <w:sz w:val="20"/>
          <w:szCs w:val="20"/>
        </w:rPr>
        <w:t xml:space="preserve">Analytics. The corporate functions of strategy, management, finance, human resources and commercial are managed within the </w:t>
      </w:r>
      <w:r w:rsidR="006831FC" w:rsidRPr="006831FC">
        <w:rPr>
          <w:rFonts w:ascii="Arial" w:hAnsi="Arial"/>
          <w:spacing w:val="-3"/>
          <w:sz w:val="20"/>
          <w:szCs w:val="20"/>
        </w:rPr>
        <w:t>Synnovis</w:t>
      </w:r>
      <w:r w:rsidRPr="00B61456">
        <w:rPr>
          <w:rFonts w:ascii="Arial" w:hAnsi="Arial"/>
          <w:sz w:val="20"/>
          <w:szCs w:val="20"/>
        </w:rPr>
        <w:t xml:space="preserve"> Group. </w:t>
      </w:r>
      <w:r w:rsidR="006831FC" w:rsidRPr="006831FC">
        <w:rPr>
          <w:rFonts w:ascii="Arial" w:hAnsi="Arial"/>
          <w:spacing w:val="-3"/>
          <w:sz w:val="20"/>
          <w:szCs w:val="20"/>
        </w:rPr>
        <w:t>Synnovis</w:t>
      </w:r>
      <w:r w:rsidR="006831FC" w:rsidRPr="00B61456">
        <w:rPr>
          <w:rFonts w:ascii="Arial" w:hAnsi="Arial"/>
          <w:sz w:val="20"/>
          <w:szCs w:val="20"/>
        </w:rPr>
        <w:t xml:space="preserve"> </w:t>
      </w:r>
      <w:r w:rsidRPr="00B61456">
        <w:rPr>
          <w:rFonts w:ascii="Arial" w:hAnsi="Arial"/>
          <w:sz w:val="20"/>
          <w:szCs w:val="20"/>
        </w:rPr>
        <w:t xml:space="preserve">Services manage the laboratory facilities, systems, equipment, consumables and maintenance. </w:t>
      </w:r>
      <w:r w:rsidR="006831FC" w:rsidRPr="006831FC">
        <w:rPr>
          <w:rFonts w:ascii="Arial" w:hAnsi="Arial"/>
          <w:spacing w:val="-3"/>
          <w:sz w:val="20"/>
          <w:szCs w:val="20"/>
        </w:rPr>
        <w:t>Synnovis</w:t>
      </w:r>
      <w:r w:rsidRPr="00B61456">
        <w:rPr>
          <w:rFonts w:ascii="Arial" w:hAnsi="Arial"/>
          <w:sz w:val="20"/>
          <w:szCs w:val="20"/>
        </w:rPr>
        <w:t xml:space="preserve"> Analytics manages the operations, diagnostics, research and development and clinical innovation.</w:t>
      </w:r>
    </w:p>
    <w:p w:rsidR="00E56818" w:rsidRPr="00E56818" w:rsidRDefault="00E56818" w:rsidP="00E56818">
      <w:pPr>
        <w:tabs>
          <w:tab w:val="left" w:pos="-720"/>
        </w:tabs>
        <w:suppressAutoHyphens/>
        <w:rPr>
          <w:rFonts w:ascii="Arial" w:hAnsi="Arial"/>
          <w:color w:val="auto"/>
          <w:spacing w:val="-3"/>
          <w:sz w:val="20"/>
          <w:szCs w:val="20"/>
        </w:rPr>
      </w:pPr>
      <w:r w:rsidRPr="00B61456">
        <w:rPr>
          <w:rFonts w:ascii="Arial" w:hAnsi="Arial"/>
          <w:color w:val="auto"/>
          <w:spacing w:val="-3"/>
          <w:sz w:val="20"/>
          <w:szCs w:val="20"/>
        </w:rPr>
        <w:t>Molecular techniques of analysis are a rapidly growing and powerful tool for identifying and quantifying molecular abnormalities/mutations for diagnosis, prognosis and monitoring of haematological malignancies. Our laboratory has developed sensitive molecular techniques for detecting and quantifying molecular markers for this routine service.</w:t>
      </w:r>
      <w:r w:rsidRPr="00E56818">
        <w:rPr>
          <w:rFonts w:ascii="Arial" w:hAnsi="Arial"/>
          <w:color w:val="auto"/>
          <w:spacing w:val="-3"/>
          <w:sz w:val="20"/>
          <w:szCs w:val="20"/>
        </w:rPr>
        <w:t xml:space="preserve"> </w:t>
      </w:r>
    </w:p>
    <w:p w:rsidR="00FF79D1" w:rsidRDefault="00FF79D1">
      <w:pPr>
        <w:spacing w:after="0"/>
        <w:jc w:val="left"/>
        <w:rPr>
          <w:rFonts w:ascii="Arial" w:hAnsi="Arial"/>
          <w:b/>
          <w:spacing w:val="-3"/>
        </w:rPr>
      </w:pPr>
      <w:r>
        <w:rPr>
          <w:rFonts w:ascii="Arial" w:hAnsi="Arial"/>
          <w:b/>
          <w:spacing w:val="-3"/>
        </w:rPr>
        <w:br w:type="page"/>
      </w:r>
    </w:p>
    <w:p w:rsidR="00E56818" w:rsidRPr="00E56818" w:rsidRDefault="00E56818" w:rsidP="00E56818">
      <w:pPr>
        <w:tabs>
          <w:tab w:val="left" w:pos="-720"/>
        </w:tabs>
        <w:suppressAutoHyphens/>
        <w:spacing w:before="120"/>
        <w:rPr>
          <w:rFonts w:ascii="Arial" w:hAnsi="Arial"/>
          <w:b/>
          <w:spacing w:val="-3"/>
        </w:rPr>
      </w:pPr>
      <w:r w:rsidRPr="00E56818">
        <w:rPr>
          <w:rFonts w:ascii="Arial" w:hAnsi="Arial"/>
          <w:b/>
          <w:spacing w:val="-3"/>
        </w:rPr>
        <w:lastRenderedPageBreak/>
        <w:t>Key features:</w:t>
      </w:r>
    </w:p>
    <w:p w:rsidR="00E56818" w:rsidRPr="00E56818" w:rsidRDefault="00E56818" w:rsidP="00E56818">
      <w:pPr>
        <w:pStyle w:val="ListParagraph"/>
        <w:numPr>
          <w:ilvl w:val="0"/>
          <w:numId w:val="36"/>
        </w:numPr>
        <w:spacing w:before="120"/>
        <w:contextualSpacing w:val="0"/>
        <w:jc w:val="left"/>
        <w:rPr>
          <w:b w:val="0"/>
          <w:sz w:val="20"/>
          <w:szCs w:val="20"/>
        </w:rPr>
      </w:pPr>
      <w:r w:rsidRPr="00E56818">
        <w:rPr>
          <w:b w:val="0"/>
          <w:sz w:val="20"/>
          <w:szCs w:val="20"/>
        </w:rPr>
        <w:t>LMH provides a specialist diagnostic service that is fully integrated with the South East Haematological Malignancy Diagnostic Service (SE-HMDS). The laboratory is</w:t>
      </w:r>
      <w:r w:rsidRPr="00E56818">
        <w:rPr>
          <w:b w:val="0"/>
          <w:sz w:val="22"/>
          <w:szCs w:val="22"/>
        </w:rPr>
        <w:t xml:space="preserve"> </w:t>
      </w:r>
      <w:r w:rsidRPr="00E56818">
        <w:rPr>
          <w:b w:val="0"/>
          <w:sz w:val="20"/>
          <w:szCs w:val="20"/>
        </w:rPr>
        <w:t>committed to providing an excellent service with emphasis on quality, speed, assay development and integration of new technologies and discoveries.</w:t>
      </w:r>
    </w:p>
    <w:p w:rsidR="00E56818" w:rsidRPr="00E56818" w:rsidRDefault="00E56818" w:rsidP="00E56818">
      <w:pPr>
        <w:pStyle w:val="ListParagraph"/>
        <w:numPr>
          <w:ilvl w:val="0"/>
          <w:numId w:val="36"/>
        </w:numPr>
        <w:spacing w:before="120"/>
        <w:contextualSpacing w:val="0"/>
        <w:jc w:val="left"/>
        <w:rPr>
          <w:b w:val="0"/>
          <w:sz w:val="20"/>
          <w:szCs w:val="20"/>
        </w:rPr>
      </w:pPr>
      <w:r w:rsidRPr="00E56818">
        <w:rPr>
          <w:b w:val="0"/>
          <w:sz w:val="20"/>
          <w:szCs w:val="20"/>
        </w:rPr>
        <w:t xml:space="preserve">LMH has been an accredited laboratory since 2003 and </w:t>
      </w:r>
      <w:r w:rsidR="00171AEF">
        <w:rPr>
          <w:b w:val="0"/>
          <w:sz w:val="20"/>
          <w:szCs w:val="20"/>
        </w:rPr>
        <w:t>is a</w:t>
      </w:r>
      <w:r w:rsidRPr="00E56818">
        <w:rPr>
          <w:b w:val="0"/>
          <w:sz w:val="20"/>
          <w:szCs w:val="20"/>
        </w:rPr>
        <w:t xml:space="preserve"> UKAS </w:t>
      </w:r>
      <w:r w:rsidR="00171AEF">
        <w:rPr>
          <w:b w:val="0"/>
          <w:sz w:val="20"/>
          <w:szCs w:val="20"/>
        </w:rPr>
        <w:t>accredited medical laboratory</w:t>
      </w:r>
      <w:r w:rsidRPr="00E56818">
        <w:rPr>
          <w:b w:val="0"/>
          <w:sz w:val="20"/>
          <w:szCs w:val="20"/>
        </w:rPr>
        <w:t xml:space="preserve"> No. 9597 against the ISO 15189:2012 standards in May 2018). See </w:t>
      </w:r>
      <w:hyperlink r:id="rId11" w:history="1">
        <w:r w:rsidRPr="00E56818">
          <w:rPr>
            <w:rStyle w:val="Hyperlink"/>
            <w:b w:val="0"/>
            <w:sz w:val="20"/>
            <w:szCs w:val="20"/>
          </w:rPr>
          <w:t>https://www.ukas.com/wp-content/uploads/schedule_uploads/00007/9597-Medical-Single.pdf</w:t>
        </w:r>
      </w:hyperlink>
      <w:r w:rsidRPr="00E56818">
        <w:rPr>
          <w:b w:val="0"/>
          <w:sz w:val="20"/>
          <w:szCs w:val="20"/>
        </w:rPr>
        <w:t>. All work is carried out within the framework of a documented quality system.</w:t>
      </w:r>
    </w:p>
    <w:p w:rsidR="00E56818" w:rsidRPr="00E56818" w:rsidRDefault="00E56818" w:rsidP="00E56818">
      <w:pPr>
        <w:pStyle w:val="ListParagraph"/>
        <w:numPr>
          <w:ilvl w:val="0"/>
          <w:numId w:val="36"/>
        </w:numPr>
        <w:spacing w:before="120"/>
        <w:contextualSpacing w:val="0"/>
        <w:jc w:val="left"/>
        <w:rPr>
          <w:b w:val="0"/>
          <w:sz w:val="20"/>
          <w:szCs w:val="20"/>
        </w:rPr>
      </w:pPr>
      <w:r w:rsidRPr="00E56818">
        <w:rPr>
          <w:b w:val="0"/>
          <w:sz w:val="20"/>
          <w:szCs w:val="20"/>
        </w:rPr>
        <w:t>The laboratory participates in accredited External Quality Assessment schemes for all tests where these exist and less formal schemes or peer-exchange schemes where they do not. Any poor EQA performance or other quality assurance non-conformances are investigated and, where appropriate, analysed to determine possible effects on the quality of results and reports. Where analysis indicates a risk of clinically significant effects, LMH will communicate and co-operate with referrers and any necessary third parties to contain risks, and will implement remedial and corrective actions.</w:t>
      </w:r>
    </w:p>
    <w:p w:rsidR="00E56818" w:rsidRPr="00E56818" w:rsidRDefault="00E56818" w:rsidP="00E56818">
      <w:pPr>
        <w:pStyle w:val="ListParagraph"/>
        <w:numPr>
          <w:ilvl w:val="0"/>
          <w:numId w:val="36"/>
        </w:numPr>
        <w:spacing w:before="120"/>
        <w:contextualSpacing w:val="0"/>
        <w:jc w:val="left"/>
        <w:rPr>
          <w:b w:val="0"/>
          <w:sz w:val="20"/>
          <w:szCs w:val="20"/>
        </w:rPr>
      </w:pPr>
      <w:r w:rsidRPr="00E56818">
        <w:rPr>
          <w:b w:val="0"/>
          <w:sz w:val="20"/>
          <w:szCs w:val="20"/>
        </w:rPr>
        <w:t xml:space="preserve">Information about patients and donors is held in compliance with the General Data Protection Regulations and Freedom of Information Act. </w:t>
      </w:r>
    </w:p>
    <w:p w:rsidR="00E56818" w:rsidRPr="00E56818" w:rsidRDefault="00E56818" w:rsidP="00E56818">
      <w:pPr>
        <w:pStyle w:val="ListParagraph"/>
        <w:numPr>
          <w:ilvl w:val="0"/>
          <w:numId w:val="36"/>
        </w:numPr>
        <w:spacing w:before="120"/>
        <w:contextualSpacing w:val="0"/>
        <w:jc w:val="left"/>
        <w:rPr>
          <w:b w:val="0"/>
          <w:sz w:val="20"/>
          <w:szCs w:val="20"/>
        </w:rPr>
      </w:pPr>
      <w:r w:rsidRPr="00E56818">
        <w:rPr>
          <w:b w:val="0"/>
          <w:sz w:val="20"/>
          <w:szCs w:val="20"/>
        </w:rPr>
        <w:t xml:space="preserve">LMH estimates and monitors Measurement Uncertainty and other quality metrics for its tests and uses these to control and seek to improve test performance. This information, together with EQA performance data is available on request from the Laboratory or Quality Managers. Estimates of Measurement Uncertainty for tests performed on individual samples can also be provided and the laboratory, in conjunction with SE-HMDS consultants can provide advice on interpretation of results, the limitations of tests and, where appropriate, the value of repeat analysis or repeat sampling. </w:t>
      </w:r>
    </w:p>
    <w:p w:rsidR="00E56818" w:rsidRPr="00E56818" w:rsidRDefault="00E56818" w:rsidP="00E56818">
      <w:pPr>
        <w:tabs>
          <w:tab w:val="left" w:pos="-720"/>
        </w:tabs>
        <w:suppressAutoHyphens/>
        <w:rPr>
          <w:rFonts w:ascii="Arial" w:hAnsi="Arial"/>
          <w:spacing w:val="-3"/>
          <w:sz w:val="16"/>
        </w:rPr>
      </w:pP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4" w:name="_Toc75134142"/>
      <w:bookmarkStart w:id="5" w:name="_Toc114849211"/>
      <w:r w:rsidRPr="00E56818">
        <w:t>Where to find</w:t>
      </w:r>
      <w:bookmarkEnd w:id="4"/>
      <w:r w:rsidRPr="00E56818">
        <w:t xml:space="preserve"> LMH</w:t>
      </w:r>
      <w:bookmarkEnd w:id="5"/>
      <w:r w:rsidRPr="00E56818">
        <w:tab/>
      </w:r>
    </w:p>
    <w:p w:rsidR="00E56818" w:rsidRPr="00B61456" w:rsidRDefault="00E56818" w:rsidP="00E56818">
      <w:pPr>
        <w:pStyle w:val="BodyText3"/>
        <w:spacing w:before="120" w:after="0"/>
        <w:rPr>
          <w:rFonts w:ascii="Arial" w:hAnsi="Arial"/>
          <w:b/>
          <w:bCs/>
          <w:sz w:val="22"/>
          <w:szCs w:val="22"/>
        </w:rPr>
      </w:pPr>
      <w:r w:rsidRPr="00B61456">
        <w:rPr>
          <w:rFonts w:ascii="Arial" w:hAnsi="Arial"/>
          <w:b/>
          <w:bCs/>
          <w:sz w:val="22"/>
          <w:szCs w:val="22"/>
        </w:rPr>
        <w:t>Postal addresses</w:t>
      </w:r>
    </w:p>
    <w:p w:rsidR="00E56818" w:rsidRPr="00E56818" w:rsidRDefault="00E56818" w:rsidP="00E56818">
      <w:pPr>
        <w:pStyle w:val="BodyText3"/>
        <w:spacing w:before="120" w:after="0"/>
        <w:rPr>
          <w:rFonts w:ascii="Arial" w:hAnsi="Arial"/>
          <w:b/>
          <w:bCs/>
          <w:sz w:val="24"/>
        </w:rPr>
      </w:pPr>
    </w:p>
    <w:tbl>
      <w:tblPr>
        <w:tblW w:w="9923" w:type="dxa"/>
        <w:tblInd w:w="-176"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335"/>
        <w:gridCol w:w="4588"/>
      </w:tblGrid>
      <w:tr w:rsidR="00E56818" w:rsidRPr="00E56818" w:rsidTr="00A967C0">
        <w:trPr>
          <w:trHeight w:val="389"/>
        </w:trPr>
        <w:tc>
          <w:tcPr>
            <w:tcW w:w="5335" w:type="dxa"/>
          </w:tcPr>
          <w:p w:rsidR="00E56818" w:rsidRPr="00E56818" w:rsidRDefault="00E56818" w:rsidP="00A967C0">
            <w:pPr>
              <w:tabs>
                <w:tab w:val="left" w:pos="-720"/>
              </w:tabs>
              <w:suppressAutoHyphens/>
              <w:rPr>
                <w:rFonts w:ascii="Arial" w:hAnsi="Arial"/>
                <w:b/>
                <w:spacing w:val="-3"/>
                <w:sz w:val="20"/>
                <w:szCs w:val="20"/>
              </w:rPr>
            </w:pPr>
            <w:r w:rsidRPr="00E56818">
              <w:rPr>
                <w:rFonts w:ascii="Arial" w:hAnsi="Arial"/>
                <w:b/>
                <w:spacing w:val="-3"/>
                <w:sz w:val="20"/>
                <w:szCs w:val="20"/>
              </w:rPr>
              <w:t>Sample Delivery Address</w:t>
            </w:r>
          </w:p>
        </w:tc>
        <w:tc>
          <w:tcPr>
            <w:tcW w:w="4588" w:type="dxa"/>
            <w:vAlign w:val="center"/>
          </w:tcPr>
          <w:p w:rsidR="00E56818" w:rsidRPr="00E56818" w:rsidRDefault="00E56818" w:rsidP="00A967C0">
            <w:pPr>
              <w:tabs>
                <w:tab w:val="left" w:pos="-720"/>
              </w:tabs>
              <w:suppressAutoHyphens/>
              <w:rPr>
                <w:rFonts w:ascii="Arial" w:hAnsi="Arial"/>
                <w:b/>
                <w:spacing w:val="-3"/>
                <w:sz w:val="20"/>
                <w:szCs w:val="20"/>
              </w:rPr>
            </w:pPr>
            <w:r w:rsidRPr="00E56818">
              <w:rPr>
                <w:rFonts w:ascii="Arial" w:hAnsi="Arial"/>
                <w:b/>
                <w:spacing w:val="-3"/>
                <w:sz w:val="20"/>
                <w:szCs w:val="20"/>
              </w:rPr>
              <w:t>Correspondence Address</w:t>
            </w:r>
          </w:p>
        </w:tc>
      </w:tr>
      <w:tr w:rsidR="00E56818" w:rsidRPr="00E56818" w:rsidTr="00A967C0">
        <w:trPr>
          <w:trHeight w:val="2478"/>
        </w:trPr>
        <w:tc>
          <w:tcPr>
            <w:tcW w:w="5335" w:type="dxa"/>
          </w:tcPr>
          <w:p w:rsidR="00E56818" w:rsidRPr="00E56818" w:rsidRDefault="00E56818" w:rsidP="00A967C0">
            <w:pPr>
              <w:tabs>
                <w:tab w:val="left" w:pos="-720"/>
              </w:tabs>
              <w:suppressAutoHyphens/>
              <w:spacing w:before="120" w:after="0"/>
              <w:rPr>
                <w:rFonts w:ascii="Arial" w:hAnsi="Arial"/>
                <w:spacing w:val="-3"/>
                <w:sz w:val="20"/>
                <w:szCs w:val="20"/>
              </w:rPr>
            </w:pPr>
            <w:r w:rsidRPr="00E56818">
              <w:rPr>
                <w:rFonts w:ascii="Arial" w:hAnsi="Arial"/>
                <w:spacing w:val="-3"/>
                <w:sz w:val="20"/>
                <w:szCs w:val="20"/>
              </w:rPr>
              <w:t>LMH c\o</w:t>
            </w:r>
          </w:p>
          <w:p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South East Haematological Malignancy Diagnostic Service</w:t>
            </w:r>
          </w:p>
          <w:p w:rsidR="00E56818" w:rsidRPr="00E56818" w:rsidRDefault="006831FC" w:rsidP="00A967C0">
            <w:pPr>
              <w:tabs>
                <w:tab w:val="left" w:pos="-720"/>
              </w:tabs>
              <w:suppressAutoHyphens/>
              <w:spacing w:after="0"/>
              <w:rPr>
                <w:rFonts w:ascii="Arial" w:hAnsi="Arial"/>
                <w:spacing w:val="-3"/>
                <w:sz w:val="20"/>
                <w:szCs w:val="20"/>
              </w:rPr>
            </w:pPr>
            <w:r w:rsidRPr="006831FC">
              <w:rPr>
                <w:rFonts w:ascii="Arial" w:hAnsi="Arial"/>
                <w:spacing w:val="-3"/>
                <w:sz w:val="20"/>
                <w:szCs w:val="20"/>
              </w:rPr>
              <w:t>Synnovis</w:t>
            </w:r>
            <w:r w:rsidRPr="00E56818">
              <w:rPr>
                <w:rFonts w:ascii="Arial" w:hAnsi="Arial"/>
                <w:spacing w:val="-3"/>
                <w:sz w:val="20"/>
                <w:szCs w:val="20"/>
              </w:rPr>
              <w:t xml:space="preserve"> </w:t>
            </w:r>
            <w:r w:rsidR="00E56818" w:rsidRPr="00E56818">
              <w:rPr>
                <w:rFonts w:ascii="Arial" w:hAnsi="Arial"/>
                <w:spacing w:val="-3"/>
                <w:sz w:val="20"/>
                <w:szCs w:val="20"/>
              </w:rPr>
              <w:t>Central Specimen Reception</w:t>
            </w:r>
          </w:p>
          <w:p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Ground Floor, Bessemer Wing</w:t>
            </w:r>
          </w:p>
          <w:p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King’s College Hospital NHS Foundation Trust</w:t>
            </w:r>
          </w:p>
          <w:p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Denmark Hill</w:t>
            </w:r>
          </w:p>
          <w:p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London SE5 9RS</w:t>
            </w:r>
          </w:p>
        </w:tc>
        <w:tc>
          <w:tcPr>
            <w:tcW w:w="4588" w:type="dxa"/>
            <w:vAlign w:val="center"/>
          </w:tcPr>
          <w:p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Laboratory for Molecular Haemato-oncology</w:t>
            </w:r>
          </w:p>
          <w:p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 xml:space="preserve">The Rayne Institute </w:t>
            </w:r>
          </w:p>
          <w:p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King’s College Hospital NHS Foundation Trust</w:t>
            </w:r>
          </w:p>
          <w:p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123 Coldharbour Lane</w:t>
            </w:r>
          </w:p>
          <w:p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Camberwell</w:t>
            </w:r>
          </w:p>
          <w:p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 xml:space="preserve">London </w:t>
            </w:r>
          </w:p>
          <w:p w:rsidR="00E56818" w:rsidRPr="00E56818" w:rsidRDefault="00E56818" w:rsidP="00A967C0">
            <w:pPr>
              <w:tabs>
                <w:tab w:val="left" w:pos="-720"/>
              </w:tabs>
              <w:suppressAutoHyphens/>
              <w:spacing w:after="0"/>
              <w:rPr>
                <w:rFonts w:ascii="Arial" w:hAnsi="Arial"/>
                <w:spacing w:val="-3"/>
                <w:sz w:val="20"/>
                <w:szCs w:val="20"/>
              </w:rPr>
            </w:pPr>
            <w:r w:rsidRPr="00E56818">
              <w:rPr>
                <w:rFonts w:ascii="Arial" w:hAnsi="Arial"/>
                <w:spacing w:val="-3"/>
                <w:sz w:val="20"/>
                <w:szCs w:val="20"/>
              </w:rPr>
              <w:t>SE5 9NU</w:t>
            </w:r>
          </w:p>
        </w:tc>
      </w:tr>
    </w:tbl>
    <w:p w:rsidR="00E56818" w:rsidRPr="00E56818" w:rsidRDefault="00E56818" w:rsidP="00E56818">
      <w:pPr>
        <w:pStyle w:val="BodyTextIndent"/>
        <w:ind w:left="0" w:right="-46"/>
        <w:rPr>
          <w:rFonts w:ascii="Arial" w:hAnsi="Arial"/>
          <w:sz w:val="16"/>
        </w:rPr>
      </w:pPr>
    </w:p>
    <w:p w:rsidR="00E56818" w:rsidRPr="00E56818" w:rsidRDefault="00E56818" w:rsidP="00E56818">
      <w:pPr>
        <w:pStyle w:val="BodyTextIndent"/>
        <w:ind w:left="0" w:right="-46"/>
        <w:rPr>
          <w:rFonts w:ascii="Arial" w:hAnsi="Arial"/>
          <w:sz w:val="16"/>
        </w:rPr>
      </w:pPr>
      <w:r w:rsidRPr="00E56818">
        <w:rPr>
          <w:rFonts w:ascii="Arial" w:hAnsi="Arial"/>
          <w:sz w:val="16"/>
        </w:rPr>
        <w:br w:type="page"/>
      </w: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6" w:name="_Key_Personnel_and"/>
      <w:bookmarkStart w:id="7" w:name="_Toc114849212"/>
      <w:bookmarkEnd w:id="6"/>
      <w:r w:rsidRPr="00E56818">
        <w:lastRenderedPageBreak/>
        <w:t>Key Personnel and Contact Details</w:t>
      </w:r>
      <w:bookmarkEnd w:id="7"/>
    </w:p>
    <w:p w:rsidR="00E56818" w:rsidRPr="00E56818" w:rsidRDefault="00E56818" w:rsidP="00E56818">
      <w:pPr>
        <w:tabs>
          <w:tab w:val="left" w:pos="-720"/>
        </w:tabs>
        <w:suppressAutoHyphens/>
        <w:spacing w:before="120"/>
        <w:rPr>
          <w:rFonts w:ascii="Arial" w:hAnsi="Arial"/>
          <w:spacing w:val="-3"/>
          <w:sz w:val="20"/>
          <w:szCs w:val="20"/>
        </w:rPr>
      </w:pPr>
      <w:r w:rsidRPr="00E56818">
        <w:rPr>
          <w:rFonts w:ascii="Arial" w:hAnsi="Arial"/>
          <w:spacing w:val="-3"/>
          <w:sz w:val="20"/>
          <w:szCs w:val="20"/>
        </w:rPr>
        <w:t>LMH direct lines:</w:t>
      </w:r>
      <w:r w:rsidRPr="00E56818">
        <w:rPr>
          <w:rFonts w:ascii="Arial" w:hAnsi="Arial"/>
          <w:spacing w:val="-3"/>
          <w:sz w:val="20"/>
          <w:szCs w:val="20"/>
        </w:rPr>
        <w:tab/>
        <w:t xml:space="preserve"> Results Phone 020 7848 5809 </w:t>
      </w:r>
      <w:r w:rsidRPr="00E56818">
        <w:rPr>
          <w:rFonts w:ascii="Arial" w:hAnsi="Arial"/>
          <w:spacing w:val="-3"/>
          <w:sz w:val="20"/>
          <w:szCs w:val="20"/>
        </w:rPr>
        <w:tab/>
        <w:t xml:space="preserve"> </w:t>
      </w:r>
    </w:p>
    <w:p w:rsidR="00E56818" w:rsidRPr="00E56818" w:rsidRDefault="00E56818" w:rsidP="00E56818">
      <w:pPr>
        <w:tabs>
          <w:tab w:val="left" w:pos="-720"/>
        </w:tabs>
        <w:suppressAutoHyphens/>
        <w:spacing w:before="120"/>
        <w:rPr>
          <w:rFonts w:ascii="Arial" w:hAnsi="Arial"/>
          <w:spacing w:val="-3"/>
          <w:sz w:val="20"/>
          <w:szCs w:val="20"/>
        </w:rPr>
      </w:pPr>
      <w:r w:rsidRPr="00E56818">
        <w:rPr>
          <w:rFonts w:ascii="Arial" w:hAnsi="Arial"/>
          <w:spacing w:val="-3"/>
          <w:sz w:val="20"/>
          <w:szCs w:val="20"/>
        </w:rPr>
        <w:t>Internal 772 5809</w:t>
      </w:r>
    </w:p>
    <w:p w:rsidR="00E56818" w:rsidRPr="00E56818" w:rsidRDefault="00E56818" w:rsidP="00E56818">
      <w:pPr>
        <w:tabs>
          <w:tab w:val="left" w:pos="-720"/>
        </w:tabs>
        <w:suppressAutoHyphens/>
        <w:spacing w:before="120"/>
        <w:rPr>
          <w:rFonts w:ascii="Arial" w:hAnsi="Arial"/>
          <w:spacing w:val="-3"/>
          <w:sz w:val="20"/>
          <w:szCs w:val="20"/>
        </w:rPr>
      </w:pPr>
      <w:r w:rsidRPr="00E56818">
        <w:rPr>
          <w:rFonts w:ascii="Arial" w:hAnsi="Arial"/>
          <w:spacing w:val="-3"/>
          <w:sz w:val="20"/>
          <w:szCs w:val="20"/>
        </w:rPr>
        <w:t xml:space="preserve">Duty Scientist email contact </w:t>
      </w:r>
      <w:hyperlink r:id="rId12" w:history="1">
        <w:r w:rsidRPr="00E56818">
          <w:rPr>
            <w:rStyle w:val="Hyperlink"/>
            <w:rFonts w:ascii="Arial" w:hAnsi="Arial"/>
            <w:spacing w:val="-3"/>
            <w:sz w:val="20"/>
            <w:szCs w:val="20"/>
          </w:rPr>
          <w:t>kch-tr.LMH@nhs.net</w:t>
        </w:r>
      </w:hyperlink>
      <w:r w:rsidRPr="00E56818">
        <w:rPr>
          <w:rFonts w:ascii="Arial" w:hAnsi="Arial"/>
          <w:spacing w:val="-3"/>
          <w:sz w:val="20"/>
          <w:szCs w:val="20"/>
        </w:rPr>
        <w:t xml:space="preserve"> (this is the best address to use for general enquiries)</w:t>
      </w:r>
    </w:p>
    <w:p w:rsidR="00E56818" w:rsidRPr="00E56818" w:rsidRDefault="00E56818" w:rsidP="00E56818">
      <w:pPr>
        <w:tabs>
          <w:tab w:val="left" w:pos="-720"/>
        </w:tabs>
        <w:suppressAutoHyphens/>
        <w:spacing w:before="120"/>
        <w:rPr>
          <w:rFonts w:ascii="Arial" w:hAnsi="Arial"/>
          <w:spacing w:val="-3"/>
          <w:sz w:val="20"/>
          <w:szCs w:val="20"/>
        </w:rPr>
      </w:pPr>
      <w:r w:rsidRPr="00E56818">
        <w:rPr>
          <w:rFonts w:ascii="Arial" w:hAnsi="Arial"/>
          <w:spacing w:val="-3"/>
          <w:sz w:val="20"/>
          <w:szCs w:val="20"/>
        </w:rPr>
        <w:t>Clinical Scientist advice: Dr Nicholas Lea, Dr Aytug Kizilors, Jamal Anwar, Dr Steve Best, Dr Najeem Folarin, Dr Azim Mohamedali, Dr Kar Lok Kong</w:t>
      </w:r>
    </w:p>
    <w:p w:rsidR="00E56818" w:rsidRPr="00E56818" w:rsidRDefault="00E56818" w:rsidP="00E56818">
      <w:pPr>
        <w:tabs>
          <w:tab w:val="left" w:pos="-720"/>
        </w:tabs>
        <w:suppressAutoHyphens/>
        <w:spacing w:before="120"/>
        <w:rPr>
          <w:rFonts w:ascii="Arial" w:hAnsi="Arial"/>
          <w:spacing w:val="-3"/>
          <w:sz w:val="20"/>
          <w:szCs w:val="20"/>
        </w:rPr>
      </w:pPr>
      <w:r w:rsidRPr="00E56818">
        <w:rPr>
          <w:rFonts w:ascii="Arial" w:hAnsi="Arial"/>
          <w:spacing w:val="-3"/>
          <w:sz w:val="20"/>
          <w:szCs w:val="20"/>
        </w:rPr>
        <w:t>Medical advice: Clinical Lead</w:t>
      </w:r>
      <w:r w:rsidRPr="00E56818">
        <w:rPr>
          <w:rFonts w:ascii="Arial" w:hAnsi="Arial"/>
          <w:sz w:val="20"/>
          <w:szCs w:val="20"/>
        </w:rPr>
        <w:t xml:space="preserve"> </w:t>
      </w:r>
      <w:r w:rsidRPr="00E56818">
        <w:rPr>
          <w:rFonts w:ascii="Arial" w:hAnsi="Arial"/>
          <w:spacing w:val="-3"/>
          <w:sz w:val="20"/>
          <w:szCs w:val="20"/>
        </w:rPr>
        <w:t>Dr Debby Yallop, Dr Shireen Kassam &amp; Dr Guy Hannah in the first instance.</w:t>
      </w:r>
    </w:p>
    <w:p w:rsidR="00E56818" w:rsidRPr="00406724" w:rsidRDefault="00E56818" w:rsidP="00E56818">
      <w:pPr>
        <w:tabs>
          <w:tab w:val="left" w:pos="-720"/>
        </w:tabs>
        <w:suppressAutoHyphens/>
        <w:rPr>
          <w:rFonts w:ascii="Arial" w:hAnsi="Arial"/>
          <w:spacing w:val="-3"/>
          <w:sz w:val="16"/>
        </w:rPr>
      </w:pPr>
    </w:p>
    <w:tbl>
      <w:tblPr>
        <w:tblW w:w="9653" w:type="dxa"/>
        <w:tblBorders>
          <w:top w:val="single" w:sz="12" w:space="0" w:color="008000"/>
          <w:left w:val="single" w:sz="6" w:space="0" w:color="008000"/>
          <w:bottom w:val="single" w:sz="12" w:space="0" w:color="008000"/>
          <w:right w:val="single" w:sz="6" w:space="0" w:color="008000"/>
          <w:insideH w:val="single" w:sz="6" w:space="0" w:color="000000"/>
        </w:tblBorders>
        <w:tblLayout w:type="fixed"/>
        <w:tblLook w:val="0000" w:firstRow="0" w:lastRow="0" w:firstColumn="0" w:lastColumn="0" w:noHBand="0" w:noVBand="0"/>
      </w:tblPr>
      <w:tblGrid>
        <w:gridCol w:w="2707"/>
        <w:gridCol w:w="2268"/>
        <w:gridCol w:w="1985"/>
        <w:gridCol w:w="2693"/>
      </w:tblGrid>
      <w:tr w:rsidR="00E56818" w:rsidRPr="00E56818" w:rsidTr="00A967C0">
        <w:trPr>
          <w:trHeight w:val="315"/>
        </w:trPr>
        <w:tc>
          <w:tcPr>
            <w:tcW w:w="6960" w:type="dxa"/>
            <w:gridSpan w:val="3"/>
            <w:shd w:val="pct20" w:color="000000" w:fill="FFFFFF"/>
          </w:tcPr>
          <w:p w:rsidR="00E56818" w:rsidRPr="00E56818" w:rsidRDefault="00E56818" w:rsidP="00A967C0">
            <w:pPr>
              <w:pStyle w:val="BodyText3"/>
              <w:jc w:val="center"/>
              <w:rPr>
                <w:rFonts w:ascii="Arial" w:hAnsi="Arial"/>
                <w:b/>
                <w:bCs/>
                <w:sz w:val="22"/>
                <w:szCs w:val="22"/>
              </w:rPr>
            </w:pPr>
            <w:r w:rsidRPr="00E56818">
              <w:rPr>
                <w:rFonts w:ascii="Arial" w:hAnsi="Arial"/>
                <w:b/>
                <w:bCs/>
                <w:sz w:val="22"/>
                <w:szCs w:val="22"/>
              </w:rPr>
              <w:t>LMH</w:t>
            </w:r>
          </w:p>
        </w:tc>
        <w:tc>
          <w:tcPr>
            <w:tcW w:w="2693" w:type="dxa"/>
            <w:shd w:val="pct20" w:color="000000" w:fill="FFFFFF"/>
          </w:tcPr>
          <w:p w:rsidR="00E56818" w:rsidRPr="00E56818" w:rsidRDefault="00E56818" w:rsidP="00A967C0">
            <w:pPr>
              <w:pStyle w:val="BodyText3"/>
              <w:jc w:val="center"/>
              <w:rPr>
                <w:rFonts w:ascii="Arial" w:hAnsi="Arial"/>
                <w:b/>
                <w:bCs/>
              </w:rPr>
            </w:pPr>
          </w:p>
        </w:tc>
      </w:tr>
      <w:tr w:rsidR="00E56818" w:rsidRPr="00E56818" w:rsidTr="00A967C0">
        <w:tc>
          <w:tcPr>
            <w:tcW w:w="2707" w:type="dxa"/>
            <w:shd w:val="pct25" w:color="FFFF00" w:fill="FFFFFF"/>
          </w:tcPr>
          <w:p w:rsidR="00E56818" w:rsidRPr="00E56818" w:rsidRDefault="00E56818" w:rsidP="00A967C0">
            <w:pPr>
              <w:pStyle w:val="BodyText3"/>
              <w:jc w:val="center"/>
              <w:rPr>
                <w:rFonts w:ascii="Arial" w:hAnsi="Arial"/>
                <w:b/>
                <w:bCs/>
              </w:rPr>
            </w:pPr>
            <w:r w:rsidRPr="00E56818">
              <w:rPr>
                <w:rFonts w:ascii="Arial" w:hAnsi="Arial"/>
                <w:b/>
                <w:bCs/>
              </w:rPr>
              <w:t>Designation</w:t>
            </w:r>
          </w:p>
        </w:tc>
        <w:tc>
          <w:tcPr>
            <w:tcW w:w="2268" w:type="dxa"/>
            <w:shd w:val="pct25" w:color="FFFF00" w:fill="FFFFFF"/>
          </w:tcPr>
          <w:p w:rsidR="00E56818" w:rsidRPr="00E56818" w:rsidRDefault="00E56818" w:rsidP="00A967C0">
            <w:pPr>
              <w:pStyle w:val="BodyText3"/>
              <w:jc w:val="center"/>
              <w:rPr>
                <w:rFonts w:ascii="Arial" w:hAnsi="Arial"/>
                <w:b/>
                <w:bCs/>
              </w:rPr>
            </w:pPr>
            <w:r w:rsidRPr="00E56818">
              <w:rPr>
                <w:rFonts w:ascii="Arial" w:hAnsi="Arial"/>
                <w:b/>
                <w:bCs/>
              </w:rPr>
              <w:t>Name</w:t>
            </w:r>
          </w:p>
        </w:tc>
        <w:tc>
          <w:tcPr>
            <w:tcW w:w="1985" w:type="dxa"/>
            <w:shd w:val="pct25" w:color="FFFF00" w:fill="FFFFFF"/>
          </w:tcPr>
          <w:p w:rsidR="00E56818" w:rsidRPr="00E56818" w:rsidRDefault="00E56818" w:rsidP="00A967C0">
            <w:pPr>
              <w:pStyle w:val="BodyText3"/>
              <w:jc w:val="center"/>
              <w:rPr>
                <w:rFonts w:ascii="Arial" w:hAnsi="Arial"/>
                <w:b/>
                <w:bCs/>
              </w:rPr>
            </w:pPr>
            <w:r w:rsidRPr="00E56818">
              <w:rPr>
                <w:rFonts w:ascii="Arial" w:hAnsi="Arial"/>
                <w:b/>
                <w:bCs/>
              </w:rPr>
              <w:t>Telephone</w:t>
            </w:r>
          </w:p>
        </w:tc>
        <w:tc>
          <w:tcPr>
            <w:tcW w:w="2693" w:type="dxa"/>
            <w:shd w:val="pct25" w:color="FFFF00" w:fill="FFFFFF"/>
          </w:tcPr>
          <w:p w:rsidR="00E56818" w:rsidRPr="00E56818" w:rsidRDefault="00E56818" w:rsidP="00A967C0">
            <w:pPr>
              <w:pStyle w:val="BodyText3"/>
              <w:jc w:val="center"/>
              <w:rPr>
                <w:rFonts w:ascii="Arial" w:hAnsi="Arial"/>
                <w:b/>
                <w:bCs/>
              </w:rPr>
            </w:pPr>
            <w:r w:rsidRPr="00E56818">
              <w:rPr>
                <w:rFonts w:ascii="Arial" w:hAnsi="Arial"/>
                <w:b/>
                <w:bCs/>
              </w:rPr>
              <w:t>Email</w:t>
            </w:r>
          </w:p>
        </w:tc>
      </w:tr>
      <w:tr w:rsidR="00E56818" w:rsidRPr="00E56818" w:rsidTr="00A967C0">
        <w:trPr>
          <w:trHeight w:val="351"/>
        </w:trPr>
        <w:tc>
          <w:tcPr>
            <w:tcW w:w="2707" w:type="dxa"/>
            <w:shd w:val="pct20" w:color="000000" w:fill="FFFFFF"/>
          </w:tcPr>
          <w:p w:rsidR="00E56818" w:rsidRPr="00E56818" w:rsidRDefault="00E56818" w:rsidP="00A967C0">
            <w:pPr>
              <w:rPr>
                <w:rFonts w:ascii="Arial" w:hAnsi="Arial"/>
              </w:rPr>
            </w:pPr>
            <w:r w:rsidRPr="00E56818">
              <w:rPr>
                <w:rFonts w:ascii="Arial" w:hAnsi="Arial"/>
              </w:rPr>
              <w:t xml:space="preserve">Joint Laboratory Director </w:t>
            </w:r>
          </w:p>
        </w:tc>
        <w:tc>
          <w:tcPr>
            <w:tcW w:w="2268" w:type="dxa"/>
            <w:shd w:val="pct20" w:color="000000" w:fill="FFFFFF"/>
          </w:tcPr>
          <w:p w:rsidR="00E56818" w:rsidRPr="00E56818" w:rsidRDefault="00E56818" w:rsidP="00A967C0">
            <w:pPr>
              <w:rPr>
                <w:rFonts w:ascii="Arial" w:hAnsi="Arial"/>
              </w:rPr>
            </w:pPr>
            <w:r w:rsidRPr="00E56818">
              <w:rPr>
                <w:rFonts w:ascii="Arial" w:hAnsi="Arial"/>
              </w:rPr>
              <w:t>Dr Nicholas Lea</w:t>
            </w:r>
          </w:p>
        </w:tc>
        <w:tc>
          <w:tcPr>
            <w:tcW w:w="1985" w:type="dxa"/>
            <w:shd w:val="pct20" w:color="000000" w:fill="FFFFFF"/>
          </w:tcPr>
          <w:p w:rsidR="00E56818" w:rsidRPr="00E56818" w:rsidRDefault="00E56818" w:rsidP="00A967C0">
            <w:pPr>
              <w:rPr>
                <w:rFonts w:ascii="Arial" w:hAnsi="Arial"/>
              </w:rPr>
            </w:pPr>
            <w:r w:rsidRPr="00E56818">
              <w:rPr>
                <w:rFonts w:ascii="Arial" w:hAnsi="Arial"/>
              </w:rPr>
              <w:t>020 3299 4106</w:t>
            </w:r>
          </w:p>
        </w:tc>
        <w:tc>
          <w:tcPr>
            <w:tcW w:w="2693" w:type="dxa"/>
            <w:shd w:val="pct20" w:color="000000" w:fill="FFFFFF"/>
          </w:tcPr>
          <w:p w:rsidR="00E56818" w:rsidRPr="00E56818" w:rsidRDefault="00B54957" w:rsidP="00A967C0">
            <w:pPr>
              <w:rPr>
                <w:rFonts w:ascii="Arial" w:hAnsi="Arial"/>
              </w:rPr>
            </w:pPr>
            <w:hyperlink r:id="rId13" w:history="1">
              <w:r w:rsidR="00E56818" w:rsidRPr="00E56818">
                <w:rPr>
                  <w:rFonts w:ascii="Arial" w:hAnsi="Arial"/>
                </w:rPr>
                <w:t>nlea@nhs.net</w:t>
              </w:r>
            </w:hyperlink>
          </w:p>
        </w:tc>
      </w:tr>
      <w:tr w:rsidR="00E56818" w:rsidRPr="00E56818" w:rsidTr="00A967C0">
        <w:trPr>
          <w:trHeight w:val="272"/>
        </w:trPr>
        <w:tc>
          <w:tcPr>
            <w:tcW w:w="2707" w:type="dxa"/>
            <w:shd w:val="pct25" w:color="FFFF00" w:fill="FFFFFF"/>
          </w:tcPr>
          <w:p w:rsidR="00E56818" w:rsidRPr="00E56818" w:rsidRDefault="00E56818" w:rsidP="00A967C0">
            <w:pPr>
              <w:rPr>
                <w:rFonts w:ascii="Arial" w:hAnsi="Arial"/>
              </w:rPr>
            </w:pPr>
            <w:r w:rsidRPr="00E56818">
              <w:rPr>
                <w:rFonts w:ascii="Arial" w:hAnsi="Arial"/>
              </w:rPr>
              <w:t>Joint Laboratory Director</w:t>
            </w:r>
          </w:p>
        </w:tc>
        <w:tc>
          <w:tcPr>
            <w:tcW w:w="2268" w:type="dxa"/>
            <w:shd w:val="pct25" w:color="FFFF00" w:fill="FFFFFF"/>
          </w:tcPr>
          <w:p w:rsidR="00E56818" w:rsidRPr="00E56818" w:rsidRDefault="00E56818" w:rsidP="00A967C0">
            <w:pPr>
              <w:rPr>
                <w:rFonts w:ascii="Arial" w:hAnsi="Arial"/>
              </w:rPr>
            </w:pPr>
            <w:r w:rsidRPr="00E56818">
              <w:rPr>
                <w:rFonts w:ascii="Arial" w:hAnsi="Arial"/>
              </w:rPr>
              <w:t>Dr Aytug Kizilors</w:t>
            </w:r>
          </w:p>
        </w:tc>
        <w:tc>
          <w:tcPr>
            <w:tcW w:w="1985" w:type="dxa"/>
            <w:shd w:val="pct25" w:color="FFFF00" w:fill="FFFFFF"/>
          </w:tcPr>
          <w:p w:rsidR="00E56818" w:rsidRPr="00E56818" w:rsidRDefault="00E56818" w:rsidP="00A967C0">
            <w:pPr>
              <w:rPr>
                <w:rFonts w:ascii="Arial" w:hAnsi="Arial"/>
              </w:rPr>
            </w:pPr>
            <w:r w:rsidRPr="00E56818">
              <w:rPr>
                <w:rFonts w:ascii="Arial" w:hAnsi="Arial"/>
              </w:rPr>
              <w:t>020 3299 4106</w:t>
            </w:r>
          </w:p>
        </w:tc>
        <w:tc>
          <w:tcPr>
            <w:tcW w:w="2693" w:type="dxa"/>
            <w:shd w:val="pct25" w:color="FFFF00" w:fill="FFFFFF"/>
          </w:tcPr>
          <w:p w:rsidR="00E56818" w:rsidRPr="00E56818" w:rsidRDefault="00E56818" w:rsidP="00A967C0">
            <w:pPr>
              <w:rPr>
                <w:rFonts w:ascii="Arial" w:hAnsi="Arial"/>
              </w:rPr>
            </w:pPr>
            <w:r w:rsidRPr="00E56818">
              <w:rPr>
                <w:rFonts w:ascii="Arial" w:hAnsi="Arial"/>
              </w:rPr>
              <w:t>akizilors@nhs.net</w:t>
            </w:r>
          </w:p>
        </w:tc>
      </w:tr>
      <w:tr w:rsidR="00E56818" w:rsidRPr="00E56818" w:rsidTr="00A967C0">
        <w:trPr>
          <w:trHeight w:val="315"/>
        </w:trPr>
        <w:tc>
          <w:tcPr>
            <w:tcW w:w="2707" w:type="dxa"/>
            <w:shd w:val="pct20" w:color="000000" w:fill="FFFFFF"/>
          </w:tcPr>
          <w:p w:rsidR="00E56818" w:rsidRPr="00E56818" w:rsidRDefault="00E56818" w:rsidP="00A967C0">
            <w:pPr>
              <w:rPr>
                <w:rFonts w:ascii="Arial" w:hAnsi="Arial"/>
              </w:rPr>
            </w:pPr>
            <w:r w:rsidRPr="00E56818">
              <w:rPr>
                <w:rFonts w:ascii="Arial" w:hAnsi="Arial"/>
              </w:rPr>
              <w:t>Joint Clinical Lead</w:t>
            </w:r>
          </w:p>
        </w:tc>
        <w:tc>
          <w:tcPr>
            <w:tcW w:w="2268" w:type="dxa"/>
            <w:shd w:val="pct20" w:color="000000" w:fill="FFFFFF"/>
          </w:tcPr>
          <w:p w:rsidR="00E56818" w:rsidRPr="00E56818" w:rsidRDefault="00E56818" w:rsidP="00A967C0">
            <w:pPr>
              <w:rPr>
                <w:rFonts w:ascii="Arial" w:hAnsi="Arial"/>
              </w:rPr>
            </w:pPr>
            <w:r w:rsidRPr="00E56818">
              <w:rPr>
                <w:rFonts w:ascii="Arial" w:hAnsi="Arial"/>
              </w:rPr>
              <w:t>Dr Debby Yallop</w:t>
            </w:r>
          </w:p>
        </w:tc>
        <w:tc>
          <w:tcPr>
            <w:tcW w:w="1985" w:type="dxa"/>
            <w:shd w:val="pct20" w:color="000000" w:fill="FFFFFF"/>
          </w:tcPr>
          <w:p w:rsidR="00E56818" w:rsidRPr="00E56818" w:rsidRDefault="00E56818" w:rsidP="00A967C0">
            <w:pPr>
              <w:rPr>
                <w:rFonts w:ascii="Arial" w:hAnsi="Arial"/>
              </w:rPr>
            </w:pPr>
            <w:r w:rsidRPr="00E56818">
              <w:rPr>
                <w:rFonts w:ascii="Arial" w:hAnsi="Arial"/>
              </w:rPr>
              <w:t>0203 299 1217</w:t>
            </w:r>
          </w:p>
        </w:tc>
        <w:tc>
          <w:tcPr>
            <w:tcW w:w="2693" w:type="dxa"/>
            <w:shd w:val="pct20" w:color="000000" w:fill="FFFFFF"/>
          </w:tcPr>
          <w:p w:rsidR="00E56818" w:rsidRPr="00E56818" w:rsidRDefault="00B54957" w:rsidP="00A967C0">
            <w:pPr>
              <w:rPr>
                <w:rFonts w:ascii="Arial" w:hAnsi="Arial"/>
                <w:sz w:val="18"/>
                <w:szCs w:val="18"/>
              </w:rPr>
            </w:pPr>
            <w:hyperlink r:id="rId14" w:history="1">
              <w:r w:rsidR="00E56818" w:rsidRPr="00E56818">
                <w:rPr>
                  <w:rStyle w:val="Hyperlink"/>
                  <w:rFonts w:ascii="Arial" w:hAnsi="Arial"/>
                  <w:sz w:val="18"/>
                  <w:szCs w:val="18"/>
                </w:rPr>
                <w:t>deborah.yallop@nhs.net</w:t>
              </w:r>
            </w:hyperlink>
          </w:p>
        </w:tc>
      </w:tr>
      <w:tr w:rsidR="00E56818" w:rsidRPr="00E56818" w:rsidTr="00A967C0">
        <w:trPr>
          <w:trHeight w:val="315"/>
        </w:trPr>
        <w:tc>
          <w:tcPr>
            <w:tcW w:w="2707" w:type="dxa"/>
            <w:shd w:val="pct25" w:color="FFFF00" w:fill="FFFFFF"/>
          </w:tcPr>
          <w:p w:rsidR="00E56818" w:rsidRPr="00E56818" w:rsidRDefault="00E56818" w:rsidP="00A967C0">
            <w:pPr>
              <w:rPr>
                <w:rFonts w:ascii="Arial" w:hAnsi="Arial"/>
              </w:rPr>
            </w:pPr>
            <w:r w:rsidRPr="00E56818">
              <w:rPr>
                <w:rFonts w:ascii="Arial" w:hAnsi="Arial"/>
              </w:rPr>
              <w:t>Joint Clinical Lead</w:t>
            </w:r>
          </w:p>
        </w:tc>
        <w:tc>
          <w:tcPr>
            <w:tcW w:w="2268" w:type="dxa"/>
            <w:shd w:val="pct25" w:color="FFFF00" w:fill="FFFFFF"/>
          </w:tcPr>
          <w:p w:rsidR="00E56818" w:rsidRPr="00E56818" w:rsidRDefault="00E56818" w:rsidP="00A967C0">
            <w:pPr>
              <w:rPr>
                <w:rFonts w:ascii="Arial" w:hAnsi="Arial"/>
              </w:rPr>
            </w:pPr>
            <w:r w:rsidRPr="00E56818">
              <w:rPr>
                <w:rFonts w:ascii="Arial" w:hAnsi="Arial"/>
              </w:rPr>
              <w:t xml:space="preserve">Dr Shireen Kassam </w:t>
            </w:r>
          </w:p>
        </w:tc>
        <w:tc>
          <w:tcPr>
            <w:tcW w:w="1985" w:type="dxa"/>
            <w:shd w:val="pct25" w:color="FFFF00" w:fill="FFFFFF"/>
          </w:tcPr>
          <w:p w:rsidR="00E56818" w:rsidRPr="00E56818" w:rsidRDefault="00E56818" w:rsidP="00A967C0">
            <w:pPr>
              <w:rPr>
                <w:rFonts w:ascii="Arial" w:hAnsi="Arial"/>
              </w:rPr>
            </w:pPr>
            <w:r w:rsidRPr="00E56818">
              <w:rPr>
                <w:rFonts w:ascii="Arial" w:hAnsi="Arial"/>
              </w:rPr>
              <w:t>0203 299 5262</w:t>
            </w:r>
          </w:p>
        </w:tc>
        <w:tc>
          <w:tcPr>
            <w:tcW w:w="2693" w:type="dxa"/>
            <w:shd w:val="pct25" w:color="FFFF00" w:fill="FFFFFF"/>
          </w:tcPr>
          <w:p w:rsidR="00E56818" w:rsidRPr="00E56818" w:rsidRDefault="00B54957" w:rsidP="00A967C0">
            <w:pPr>
              <w:rPr>
                <w:rFonts w:ascii="Arial" w:hAnsi="Arial"/>
                <w:sz w:val="18"/>
                <w:szCs w:val="18"/>
              </w:rPr>
            </w:pPr>
            <w:hyperlink r:id="rId15" w:history="1">
              <w:r w:rsidR="00E56818" w:rsidRPr="00E56818">
                <w:rPr>
                  <w:rStyle w:val="Hyperlink"/>
                  <w:rFonts w:ascii="Arial" w:hAnsi="Arial"/>
                  <w:sz w:val="18"/>
                  <w:szCs w:val="18"/>
                </w:rPr>
                <w:t>shireen.kassam@nhs.net</w:t>
              </w:r>
            </w:hyperlink>
            <w:r w:rsidR="00E56818" w:rsidRPr="00E56818">
              <w:rPr>
                <w:rFonts w:ascii="Arial" w:hAnsi="Arial"/>
                <w:sz w:val="18"/>
                <w:szCs w:val="18"/>
              </w:rPr>
              <w:t xml:space="preserve"> </w:t>
            </w:r>
          </w:p>
        </w:tc>
      </w:tr>
      <w:tr w:rsidR="00E56818" w:rsidRPr="00E56818" w:rsidTr="00A967C0">
        <w:trPr>
          <w:trHeight w:val="315"/>
        </w:trPr>
        <w:tc>
          <w:tcPr>
            <w:tcW w:w="2707" w:type="dxa"/>
            <w:shd w:val="pct20" w:color="000000" w:fill="FFFFFF"/>
          </w:tcPr>
          <w:p w:rsidR="00E56818" w:rsidRPr="00E56818" w:rsidRDefault="00E56818" w:rsidP="00A967C0">
            <w:pPr>
              <w:rPr>
                <w:rFonts w:ascii="Arial" w:hAnsi="Arial"/>
              </w:rPr>
            </w:pPr>
            <w:r w:rsidRPr="00E56818">
              <w:rPr>
                <w:rFonts w:ascii="Arial" w:hAnsi="Arial"/>
              </w:rPr>
              <w:t>Quality Manager</w:t>
            </w:r>
          </w:p>
        </w:tc>
        <w:tc>
          <w:tcPr>
            <w:tcW w:w="2268" w:type="dxa"/>
            <w:shd w:val="pct20" w:color="000000" w:fill="FFFFFF"/>
          </w:tcPr>
          <w:p w:rsidR="00E56818" w:rsidRPr="00E56818" w:rsidRDefault="00E56818" w:rsidP="00A967C0">
            <w:pPr>
              <w:rPr>
                <w:rFonts w:ascii="Arial" w:hAnsi="Arial"/>
              </w:rPr>
            </w:pPr>
            <w:r w:rsidRPr="00E56818">
              <w:rPr>
                <w:rFonts w:ascii="Arial" w:hAnsi="Arial"/>
              </w:rPr>
              <w:t>Mrs Tanya Scott</w:t>
            </w:r>
          </w:p>
        </w:tc>
        <w:tc>
          <w:tcPr>
            <w:tcW w:w="1985" w:type="dxa"/>
            <w:shd w:val="pct20" w:color="000000" w:fill="FFFFFF"/>
          </w:tcPr>
          <w:p w:rsidR="00E56818" w:rsidRPr="00E56818" w:rsidRDefault="00E56818" w:rsidP="00A967C0">
            <w:pPr>
              <w:rPr>
                <w:rFonts w:ascii="Arial" w:hAnsi="Arial"/>
              </w:rPr>
            </w:pPr>
            <w:r w:rsidRPr="00E56818">
              <w:rPr>
                <w:rFonts w:ascii="Arial" w:hAnsi="Arial"/>
              </w:rPr>
              <w:t>0203 299 4959</w:t>
            </w:r>
          </w:p>
        </w:tc>
        <w:tc>
          <w:tcPr>
            <w:tcW w:w="2693" w:type="dxa"/>
            <w:shd w:val="pct20" w:color="000000" w:fill="FFFFFF"/>
          </w:tcPr>
          <w:p w:rsidR="00E56818" w:rsidRPr="00E56818" w:rsidRDefault="00B54957" w:rsidP="00A967C0">
            <w:pPr>
              <w:rPr>
                <w:rFonts w:ascii="Arial" w:hAnsi="Arial"/>
              </w:rPr>
            </w:pPr>
            <w:hyperlink r:id="rId16" w:history="1">
              <w:r w:rsidR="00E56818" w:rsidRPr="00E56818">
                <w:rPr>
                  <w:rFonts w:ascii="Arial" w:hAnsi="Arial"/>
                </w:rPr>
                <w:t>tanya.scott@nhs.net</w:t>
              </w:r>
            </w:hyperlink>
          </w:p>
        </w:tc>
      </w:tr>
      <w:tr w:rsidR="00E56818" w:rsidRPr="00E56818" w:rsidTr="00A967C0">
        <w:trPr>
          <w:trHeight w:val="315"/>
        </w:trPr>
        <w:tc>
          <w:tcPr>
            <w:tcW w:w="6960" w:type="dxa"/>
            <w:gridSpan w:val="3"/>
            <w:shd w:val="pct25" w:color="FFFF00" w:fill="FFFFFF"/>
          </w:tcPr>
          <w:p w:rsidR="00E56818" w:rsidRPr="00E56818" w:rsidRDefault="00E56818" w:rsidP="00A967C0">
            <w:pPr>
              <w:jc w:val="center"/>
              <w:rPr>
                <w:rFonts w:ascii="Arial" w:hAnsi="Arial"/>
              </w:rPr>
            </w:pPr>
            <w:r w:rsidRPr="00E56818">
              <w:rPr>
                <w:rFonts w:ascii="Arial" w:hAnsi="Arial"/>
                <w:b/>
              </w:rPr>
              <w:t>SE-HMDS</w:t>
            </w:r>
          </w:p>
        </w:tc>
        <w:tc>
          <w:tcPr>
            <w:tcW w:w="2693" w:type="dxa"/>
            <w:shd w:val="pct25" w:color="FFFF00" w:fill="FFFFFF"/>
          </w:tcPr>
          <w:p w:rsidR="00E56818" w:rsidRPr="00E56818" w:rsidRDefault="00E56818" w:rsidP="00A967C0">
            <w:pPr>
              <w:rPr>
                <w:rFonts w:ascii="Arial" w:hAnsi="Arial"/>
              </w:rPr>
            </w:pPr>
          </w:p>
        </w:tc>
      </w:tr>
      <w:tr w:rsidR="00E56818" w:rsidRPr="00E56818" w:rsidTr="00A967C0">
        <w:trPr>
          <w:trHeight w:val="315"/>
        </w:trPr>
        <w:tc>
          <w:tcPr>
            <w:tcW w:w="2707" w:type="dxa"/>
            <w:shd w:val="pct20" w:color="000000" w:fill="FFFFFF"/>
          </w:tcPr>
          <w:p w:rsidR="00E56818" w:rsidRPr="00E56818" w:rsidRDefault="00E56818" w:rsidP="00A967C0">
            <w:pPr>
              <w:rPr>
                <w:rFonts w:ascii="Arial" w:hAnsi="Arial"/>
              </w:rPr>
            </w:pPr>
            <w:r w:rsidRPr="00E56818">
              <w:rPr>
                <w:rFonts w:ascii="Arial" w:hAnsi="Arial"/>
              </w:rPr>
              <w:t>Consultant Haematologist</w:t>
            </w:r>
          </w:p>
        </w:tc>
        <w:tc>
          <w:tcPr>
            <w:tcW w:w="2268" w:type="dxa"/>
            <w:shd w:val="pct20" w:color="000000" w:fill="FFFFFF"/>
          </w:tcPr>
          <w:p w:rsidR="00E56818" w:rsidRPr="00E56818" w:rsidRDefault="00E56818" w:rsidP="00A967C0">
            <w:pPr>
              <w:rPr>
                <w:rFonts w:ascii="Arial" w:hAnsi="Arial"/>
              </w:rPr>
            </w:pPr>
            <w:r w:rsidRPr="00E56818">
              <w:rPr>
                <w:rFonts w:ascii="Arial" w:hAnsi="Arial"/>
              </w:rPr>
              <w:t>Dr Guy Hannah</w:t>
            </w:r>
          </w:p>
        </w:tc>
        <w:tc>
          <w:tcPr>
            <w:tcW w:w="1985" w:type="dxa"/>
            <w:shd w:val="pct20" w:color="000000" w:fill="FFFFFF"/>
          </w:tcPr>
          <w:p w:rsidR="00E56818" w:rsidRPr="00E56818" w:rsidRDefault="00E56818" w:rsidP="00A967C0">
            <w:pPr>
              <w:rPr>
                <w:rFonts w:ascii="Arial" w:hAnsi="Arial"/>
              </w:rPr>
            </w:pPr>
            <w:r w:rsidRPr="00E56818">
              <w:rPr>
                <w:rFonts w:ascii="Arial" w:hAnsi="Arial"/>
              </w:rPr>
              <w:t>0203 299 9000</w:t>
            </w:r>
          </w:p>
        </w:tc>
        <w:tc>
          <w:tcPr>
            <w:tcW w:w="2693" w:type="dxa"/>
            <w:shd w:val="pct20" w:color="000000" w:fill="FFFFFF"/>
          </w:tcPr>
          <w:p w:rsidR="00E56818" w:rsidRPr="00E56818" w:rsidRDefault="00E56818" w:rsidP="00A967C0">
            <w:pPr>
              <w:rPr>
                <w:rFonts w:ascii="Arial" w:hAnsi="Arial"/>
              </w:rPr>
            </w:pPr>
            <w:r w:rsidRPr="00E56818">
              <w:rPr>
                <w:rFonts w:ascii="Arial" w:hAnsi="Arial"/>
              </w:rPr>
              <w:t>guyhannah@nhs.net</w:t>
            </w:r>
          </w:p>
        </w:tc>
      </w:tr>
    </w:tbl>
    <w:p w:rsidR="00E56818" w:rsidRPr="00406724" w:rsidRDefault="00E56818" w:rsidP="00E56818">
      <w:pPr>
        <w:rPr>
          <w:rFonts w:ascii="Arial" w:hAnsi="Arial"/>
        </w:rPr>
      </w:pPr>
    </w:p>
    <w:p w:rsidR="00E56818" w:rsidRPr="00E56818" w:rsidRDefault="00E56818" w:rsidP="00E56818">
      <w:pPr>
        <w:rPr>
          <w:rFonts w:ascii="Arial" w:hAnsi="Arial"/>
          <w:b/>
          <w:sz w:val="24"/>
        </w:rPr>
      </w:pPr>
      <w:r w:rsidRPr="00E56818">
        <w:rPr>
          <w:rFonts w:ascii="Arial" w:hAnsi="Arial"/>
          <w:b/>
          <w:sz w:val="24"/>
        </w:rPr>
        <w:t>Complaints, suggestions and feedback</w:t>
      </w:r>
    </w:p>
    <w:p w:rsidR="00E56818" w:rsidRPr="00E56818" w:rsidRDefault="006831FC" w:rsidP="00E56818">
      <w:pPr>
        <w:spacing w:before="120"/>
        <w:rPr>
          <w:rFonts w:ascii="Arial" w:hAnsi="Arial"/>
          <w:sz w:val="20"/>
          <w:szCs w:val="20"/>
        </w:rPr>
      </w:pPr>
      <w:r w:rsidRPr="006831FC">
        <w:rPr>
          <w:rFonts w:ascii="Arial" w:hAnsi="Arial"/>
          <w:spacing w:val="-3"/>
          <w:sz w:val="20"/>
          <w:szCs w:val="20"/>
        </w:rPr>
        <w:t>Synnovis</w:t>
      </w:r>
      <w:r w:rsidRPr="00E56818">
        <w:rPr>
          <w:rFonts w:ascii="Arial" w:hAnsi="Arial"/>
          <w:sz w:val="20"/>
          <w:szCs w:val="20"/>
        </w:rPr>
        <w:t xml:space="preserve"> </w:t>
      </w:r>
      <w:r w:rsidR="00E56818" w:rsidRPr="00E56818">
        <w:rPr>
          <w:rFonts w:ascii="Arial" w:hAnsi="Arial"/>
          <w:sz w:val="20"/>
          <w:szCs w:val="20"/>
        </w:rPr>
        <w:t xml:space="preserve">is committed to continuously improving the quality and range of services provided and welcomes any comments or suggestions from users. Please contact the Laboratory or Quality Manager in the first instance regarding complaints and suggestions.  </w:t>
      </w:r>
    </w:p>
    <w:p w:rsidR="00E56818" w:rsidRPr="00E56818" w:rsidRDefault="00E56818" w:rsidP="00E56818">
      <w:pPr>
        <w:spacing w:before="120"/>
        <w:rPr>
          <w:rFonts w:ascii="Arial" w:hAnsi="Arial"/>
          <w:sz w:val="20"/>
          <w:szCs w:val="20"/>
        </w:rPr>
      </w:pPr>
      <w:r w:rsidRPr="00E56818">
        <w:rPr>
          <w:rFonts w:ascii="Arial" w:hAnsi="Arial"/>
          <w:sz w:val="20"/>
          <w:szCs w:val="20"/>
        </w:rPr>
        <w:t>Complaints are managed via our Quality Management System and we always strive to provide a satisfactory response to any complaint. The complaints procedure is available from the Laboratory or Quality Manager.</w:t>
      </w:r>
    </w:p>
    <w:p w:rsidR="00E56818" w:rsidRPr="00E56818" w:rsidRDefault="00E56818" w:rsidP="00E56818">
      <w:pPr>
        <w:spacing w:before="120"/>
        <w:rPr>
          <w:rFonts w:ascii="Arial" w:hAnsi="Arial"/>
          <w:sz w:val="20"/>
          <w:szCs w:val="20"/>
        </w:rPr>
      </w:pPr>
    </w:p>
    <w:p w:rsidR="00E56818" w:rsidRPr="00E56818" w:rsidRDefault="00E56818" w:rsidP="00E56818">
      <w:pPr>
        <w:pStyle w:val="Heading2"/>
        <w:widowControl w:val="0"/>
        <w:numPr>
          <w:ilvl w:val="1"/>
          <w:numId w:val="33"/>
        </w:numPr>
        <w:overflowPunct w:val="0"/>
        <w:autoSpaceDE w:val="0"/>
        <w:autoSpaceDN w:val="0"/>
        <w:adjustRightInd w:val="0"/>
        <w:spacing w:before="240" w:after="0"/>
        <w:textAlignment w:val="baseline"/>
      </w:pPr>
      <w:bookmarkStart w:id="8" w:name="_Toc114849213"/>
      <w:r w:rsidRPr="00E56818">
        <w:t>Laboratory Opening Times</w:t>
      </w:r>
      <w:bookmarkEnd w:id="8"/>
    </w:p>
    <w:p w:rsidR="00E56818" w:rsidRPr="00E56818" w:rsidRDefault="00E56818" w:rsidP="00E56818">
      <w:pPr>
        <w:tabs>
          <w:tab w:val="left" w:pos="-720"/>
        </w:tabs>
        <w:suppressAutoHyphens/>
        <w:spacing w:before="120"/>
        <w:rPr>
          <w:rFonts w:ascii="Arial" w:hAnsi="Arial"/>
          <w:spacing w:val="-3"/>
          <w:sz w:val="20"/>
          <w:szCs w:val="20"/>
        </w:rPr>
      </w:pPr>
      <w:r w:rsidRPr="00E56818">
        <w:rPr>
          <w:rFonts w:ascii="Arial" w:hAnsi="Arial"/>
          <w:spacing w:val="-3"/>
          <w:sz w:val="20"/>
          <w:szCs w:val="20"/>
        </w:rPr>
        <w:t xml:space="preserve">The LMH laboratory is open from Monday to Friday: 9 am to 5:30 pm. </w:t>
      </w:r>
    </w:p>
    <w:p w:rsidR="00E56818" w:rsidRPr="00E56818" w:rsidRDefault="00E56818" w:rsidP="00E56818">
      <w:pPr>
        <w:tabs>
          <w:tab w:val="left" w:pos="-720"/>
        </w:tabs>
        <w:suppressAutoHyphens/>
        <w:spacing w:before="120"/>
        <w:rPr>
          <w:rFonts w:ascii="Arial" w:hAnsi="Arial"/>
          <w:spacing w:val="-3"/>
          <w:sz w:val="20"/>
          <w:szCs w:val="20"/>
        </w:rPr>
      </w:pPr>
      <w:r w:rsidRPr="00E56818">
        <w:rPr>
          <w:rFonts w:ascii="Arial" w:hAnsi="Arial"/>
          <w:spacing w:val="-3"/>
          <w:sz w:val="20"/>
          <w:szCs w:val="20"/>
        </w:rPr>
        <w:t xml:space="preserve">The laboratory is not open on bank holidays. </w:t>
      </w:r>
    </w:p>
    <w:p w:rsidR="00E56818" w:rsidRPr="00E56818" w:rsidRDefault="00E56818" w:rsidP="00E56818">
      <w:pPr>
        <w:tabs>
          <w:tab w:val="left" w:pos="-720"/>
        </w:tabs>
        <w:suppressAutoHyphens/>
        <w:spacing w:before="120"/>
        <w:rPr>
          <w:rFonts w:ascii="Arial" w:hAnsi="Arial"/>
          <w:spacing w:val="-3"/>
        </w:rPr>
      </w:pPr>
      <w:r w:rsidRPr="00E56818">
        <w:rPr>
          <w:rFonts w:ascii="Arial" w:hAnsi="Arial"/>
          <w:spacing w:val="-3"/>
          <w:sz w:val="20"/>
          <w:szCs w:val="20"/>
        </w:rPr>
        <w:t>Avoid sending samples on a Friday as they may not arrive in time for sample processing and there is a risk that they may be too old to process for RNA-based tests.</w:t>
      </w:r>
    </w:p>
    <w:p w:rsidR="00E56818" w:rsidRPr="00E56818" w:rsidRDefault="00E56818" w:rsidP="00E56818">
      <w:pPr>
        <w:rPr>
          <w:rFonts w:ascii="Arial" w:hAnsi="Arial"/>
          <w:b/>
          <w:bCs/>
          <w:spacing w:val="-3"/>
          <w:sz w:val="24"/>
        </w:rPr>
      </w:pPr>
    </w:p>
    <w:p w:rsidR="00E56818" w:rsidRPr="00E56818" w:rsidRDefault="00E56818" w:rsidP="00E56818">
      <w:pPr>
        <w:rPr>
          <w:rFonts w:ascii="Arial" w:hAnsi="Arial"/>
          <w:b/>
          <w:bCs/>
          <w:spacing w:val="-3"/>
          <w:sz w:val="24"/>
        </w:rPr>
      </w:pPr>
    </w:p>
    <w:p w:rsidR="00E56818" w:rsidRPr="00E56818" w:rsidRDefault="00E56818" w:rsidP="00E56818">
      <w:pPr>
        <w:rPr>
          <w:rFonts w:ascii="Arial" w:hAnsi="Arial"/>
          <w:b/>
          <w:bCs/>
          <w:spacing w:val="-3"/>
          <w:sz w:val="24"/>
        </w:rPr>
      </w:pPr>
    </w:p>
    <w:p w:rsidR="00E56818" w:rsidRPr="00E56818" w:rsidRDefault="00E56818" w:rsidP="00E56818">
      <w:pPr>
        <w:rPr>
          <w:rFonts w:ascii="Arial" w:hAnsi="Arial"/>
          <w:b/>
          <w:bCs/>
          <w:spacing w:val="-3"/>
          <w:sz w:val="24"/>
        </w:rPr>
      </w:pPr>
    </w:p>
    <w:p w:rsidR="00E56818" w:rsidRPr="00E56818" w:rsidRDefault="00E56818" w:rsidP="00E56818">
      <w:pPr>
        <w:rPr>
          <w:rFonts w:ascii="Arial" w:hAnsi="Arial"/>
          <w:b/>
          <w:bCs/>
          <w:spacing w:val="-3"/>
          <w:sz w:val="24"/>
        </w:rPr>
      </w:pPr>
    </w:p>
    <w:p w:rsidR="00E56818" w:rsidRPr="00E56818" w:rsidRDefault="00E56818" w:rsidP="00E56818">
      <w:pPr>
        <w:pStyle w:val="Heading1"/>
        <w:keepLines w:val="0"/>
        <w:widowControl w:val="0"/>
        <w:numPr>
          <w:ilvl w:val="0"/>
          <w:numId w:val="33"/>
        </w:numPr>
        <w:shd w:val="clear" w:color="auto" w:fill="D9D9D9"/>
        <w:tabs>
          <w:tab w:val="left" w:pos="-720"/>
        </w:tabs>
        <w:suppressAutoHyphens/>
        <w:overflowPunct w:val="0"/>
        <w:autoSpaceDE w:val="0"/>
        <w:autoSpaceDN w:val="0"/>
        <w:adjustRightInd w:val="0"/>
        <w:spacing w:before="0" w:after="0"/>
        <w:jc w:val="both"/>
        <w:textAlignment w:val="baseline"/>
        <w:rPr>
          <w:bCs/>
        </w:rPr>
      </w:pPr>
      <w:bookmarkStart w:id="9" w:name="_Toc114849214"/>
      <w:r w:rsidRPr="00E56818">
        <w:rPr>
          <w:bCs/>
        </w:rPr>
        <w:lastRenderedPageBreak/>
        <w:t>Use of the Laboratory</w:t>
      </w:r>
      <w:bookmarkEnd w:id="9"/>
    </w:p>
    <w:p w:rsidR="00E56818" w:rsidRPr="00E56818" w:rsidRDefault="00E56818" w:rsidP="00E56818">
      <w:pPr>
        <w:tabs>
          <w:tab w:val="left" w:pos="-720"/>
        </w:tabs>
        <w:suppressAutoHyphens/>
        <w:rPr>
          <w:rFonts w:ascii="Arial" w:hAnsi="Arial"/>
          <w:spacing w:val="-3"/>
          <w:sz w:val="16"/>
        </w:rPr>
      </w:pP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10" w:name="_Toc114849215"/>
      <w:r w:rsidRPr="00E56818">
        <w:t>Test Requesting Procedure (routine, urgent and out of hours)</w:t>
      </w:r>
      <w:bookmarkEnd w:id="10"/>
    </w:p>
    <w:p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Routine requests can be made either by King’s EPR system (Denmark Hill site internal users) or the SE-HMDS request form (external users). During normal laboratory hours please telephone urgent requests (020 7848 5809 or 0203 299 4106) or speak to a SE-HMDS consultant to ensure priority processing.</w:t>
      </w:r>
    </w:p>
    <w:p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It is the responsibility of the test requester to ensure that patient consent has been obtained.</w:t>
      </w:r>
    </w:p>
    <w:p w:rsidR="00E56818" w:rsidRPr="00E56818" w:rsidRDefault="00E56818" w:rsidP="00E56818">
      <w:pPr>
        <w:tabs>
          <w:tab w:val="left" w:pos="-720"/>
        </w:tabs>
        <w:suppressAutoHyphens/>
        <w:spacing w:after="0"/>
        <w:ind w:right="-140"/>
        <w:jc w:val="left"/>
        <w:rPr>
          <w:rFonts w:ascii="Arial" w:hAnsi="Arial"/>
          <w:spacing w:val="-3"/>
          <w:sz w:val="20"/>
          <w:szCs w:val="20"/>
        </w:rPr>
      </w:pPr>
      <w:r w:rsidRPr="00E56818">
        <w:rPr>
          <w:rStyle w:val="Hyperlink"/>
          <w:rFonts w:ascii="Arial" w:hAnsi="Arial"/>
          <w:color w:val="auto"/>
          <w:spacing w:val="-2"/>
          <w:sz w:val="20"/>
          <w:szCs w:val="20"/>
          <w:u w:val="none"/>
        </w:rPr>
        <w:t xml:space="preserve">The web page </w:t>
      </w:r>
      <w:hyperlink r:id="rId17" w:history="1">
        <w:r w:rsidR="003B0082" w:rsidRPr="00E73D32">
          <w:rPr>
            <w:rStyle w:val="Hyperlink"/>
            <w:rFonts w:ascii="Arial" w:hAnsi="Arial"/>
            <w:spacing w:val="-2"/>
            <w:sz w:val="20"/>
            <w:szCs w:val="20"/>
          </w:rPr>
          <w:t>http://www.synnovis.co.uk/departments-and-laboratories/hmdc-molecular-haemato-oncology-laboratory-kings</w:t>
        </w:r>
      </w:hyperlink>
      <w:r w:rsidRPr="00E56818">
        <w:rPr>
          <w:rFonts w:ascii="Arial" w:hAnsi="Arial"/>
          <w:spacing w:val="-3"/>
          <w:sz w:val="20"/>
          <w:szCs w:val="20"/>
        </w:rPr>
        <w:t xml:space="preserve"> </w:t>
      </w:r>
      <w:r w:rsidRPr="00E56818">
        <w:rPr>
          <w:rStyle w:val="Hyperlink"/>
          <w:rFonts w:ascii="Arial" w:hAnsi="Arial"/>
          <w:color w:val="auto"/>
          <w:spacing w:val="-3"/>
          <w:sz w:val="20"/>
          <w:szCs w:val="20"/>
          <w:u w:val="none"/>
        </w:rPr>
        <w:t>summarises the service provided by LMH and is used to publish downloadable copies of this user guide, the SE-HMDS request form and a document (named “SNP Operational Processes”) that illustrates the clinical algorithms, in flow chart format, used to indicate the circumstances under which Single Nucleotide Polymorphism Karyotyping is used  to replace or supplement traditional cytogenetic analysis.</w:t>
      </w:r>
    </w:p>
    <w:p w:rsidR="00E56818" w:rsidRPr="00E56818" w:rsidRDefault="00E56818" w:rsidP="00E56818">
      <w:pPr>
        <w:tabs>
          <w:tab w:val="left" w:pos="-720"/>
        </w:tabs>
        <w:suppressAutoHyphens/>
        <w:spacing w:after="0"/>
        <w:rPr>
          <w:rFonts w:ascii="Arial" w:hAnsi="Arial"/>
          <w:spacing w:val="-3"/>
          <w:sz w:val="16"/>
        </w:rPr>
      </w:pP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11" w:name="_Toc114849216"/>
      <w:r w:rsidRPr="00E56818">
        <w:t>Requesting Additional Tests</w:t>
      </w:r>
      <w:bookmarkEnd w:id="11"/>
    </w:p>
    <w:p w:rsidR="00E56818" w:rsidRP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 xml:space="preserve">Depending on the original request, the laboratory will attempt to preserve material for additional testing where required. Please contact the lab if further testing is required on a particular sample. Refer to Specimen Retention Policy below (page 10) for the retention periods for different sample types. </w:t>
      </w:r>
    </w:p>
    <w:p w:rsidR="00E56818" w:rsidRPr="00E56818" w:rsidRDefault="00E56818" w:rsidP="00E56818">
      <w:pPr>
        <w:tabs>
          <w:tab w:val="left" w:pos="-720"/>
        </w:tabs>
        <w:suppressAutoHyphens/>
        <w:spacing w:after="0"/>
        <w:rPr>
          <w:rFonts w:ascii="Arial" w:hAnsi="Arial"/>
          <w:spacing w:val="-3"/>
          <w:sz w:val="16"/>
        </w:rPr>
      </w:pP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12" w:name="_Toc114849217"/>
      <w:r w:rsidRPr="00E56818">
        <w:t>Completing the Request Form</w:t>
      </w:r>
      <w:bookmarkEnd w:id="12"/>
    </w:p>
    <w:p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Please use labels printed from laboratory computer systems whenever possible to maximise legibility and minimise risks of patient misidentification.</w:t>
      </w:r>
    </w:p>
    <w:p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 xml:space="preserve">The minimum required dataset for request forms and sample labels is stated below. </w:t>
      </w:r>
    </w:p>
    <w:p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Please note that inadequately labelled samples or those accompanied by inadequately completed forms will not be processed under any circumstances (see Dataset: below).</w:t>
      </w:r>
    </w:p>
    <w:p w:rsidR="00E56818" w:rsidRPr="00E56818" w:rsidRDefault="00E56818" w:rsidP="00E56818">
      <w:pPr>
        <w:pStyle w:val="BodyText3"/>
        <w:rPr>
          <w:rFonts w:ascii="Arial" w:hAnsi="Arial"/>
          <w:b/>
          <w:bCs/>
          <w:i/>
          <w:sz w:val="20"/>
          <w:szCs w:val="20"/>
          <w:u w:val="single"/>
        </w:rPr>
      </w:pPr>
      <w:r w:rsidRPr="00E56818">
        <w:rPr>
          <w:rFonts w:ascii="Arial" w:hAnsi="Arial"/>
          <w:b/>
          <w:bCs/>
          <w:i/>
          <w:sz w:val="20"/>
          <w:szCs w:val="20"/>
          <w:u w:val="single"/>
        </w:rPr>
        <w:t>EPR requests:</w:t>
      </w:r>
    </w:p>
    <w:p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 xml:space="preserve">At the Denmark Hill site the following patient sample requests can be made via EPR. Please select the correct test (these are listed in </w:t>
      </w:r>
      <w:r w:rsidRPr="00E56818">
        <w:rPr>
          <w:rStyle w:val="Hyperlink"/>
          <w:rFonts w:ascii="Arial" w:hAnsi="Arial"/>
          <w:color w:val="auto"/>
          <w:sz w:val="20"/>
          <w:szCs w:val="20"/>
          <w:u w:val="none"/>
        </w:rPr>
        <w:t xml:space="preserve">Section 7: Additional Information on Molecular </w:t>
      </w:r>
      <w:hyperlink w:anchor="_Additional_Information_on" w:history="1">
        <w:r w:rsidRPr="00E56818">
          <w:rPr>
            <w:rStyle w:val="Hyperlink"/>
            <w:rFonts w:ascii="Arial" w:hAnsi="Arial"/>
            <w:color w:val="auto"/>
            <w:sz w:val="20"/>
            <w:szCs w:val="20"/>
            <w:u w:val="none"/>
          </w:rPr>
          <w:t>Investigations</w:t>
        </w:r>
      </w:hyperlink>
      <w:r w:rsidRPr="00E56818">
        <w:rPr>
          <w:rStyle w:val="Hyperlink"/>
          <w:rFonts w:ascii="Arial" w:hAnsi="Arial"/>
          <w:color w:val="auto"/>
          <w:sz w:val="20"/>
          <w:szCs w:val="20"/>
          <w:u w:val="none"/>
        </w:rPr>
        <w:t xml:space="preserve"> in LMH lab</w:t>
      </w:r>
      <w:r w:rsidRPr="00E56818">
        <w:rPr>
          <w:rFonts w:ascii="Arial" w:hAnsi="Arial"/>
          <w:spacing w:val="-3"/>
          <w:sz w:val="20"/>
          <w:szCs w:val="20"/>
        </w:rPr>
        <w:t xml:space="preserve"> below on page 10) and enter free text in the clinical details field if the test is not listed. </w:t>
      </w:r>
    </w:p>
    <w:p w:rsidR="00E56818" w:rsidRPr="00E56818" w:rsidRDefault="00E56818" w:rsidP="00E56818">
      <w:pPr>
        <w:pStyle w:val="BodyText3"/>
        <w:rPr>
          <w:rFonts w:ascii="Arial" w:hAnsi="Arial"/>
          <w:b/>
          <w:bCs/>
          <w:i/>
          <w:sz w:val="20"/>
          <w:szCs w:val="20"/>
          <w:u w:val="single"/>
        </w:rPr>
      </w:pPr>
      <w:bookmarkStart w:id="13" w:name="_Toc75134149"/>
      <w:r w:rsidRPr="00E56818">
        <w:rPr>
          <w:rFonts w:ascii="Arial" w:hAnsi="Arial"/>
          <w:b/>
          <w:bCs/>
          <w:i/>
          <w:sz w:val="20"/>
          <w:szCs w:val="20"/>
          <w:u w:val="single"/>
        </w:rPr>
        <w:t>Paper based request forms</w:t>
      </w:r>
      <w:bookmarkEnd w:id="13"/>
      <w:r w:rsidRPr="00E56818">
        <w:rPr>
          <w:rFonts w:ascii="Arial" w:hAnsi="Arial"/>
          <w:b/>
          <w:bCs/>
          <w:i/>
          <w:sz w:val="20"/>
          <w:szCs w:val="20"/>
          <w:u w:val="single"/>
        </w:rPr>
        <w:t>:</w:t>
      </w:r>
      <w:r w:rsidRPr="00E56818">
        <w:rPr>
          <w:rFonts w:ascii="Arial" w:hAnsi="Arial"/>
          <w:i/>
          <w:sz w:val="20"/>
          <w:szCs w:val="20"/>
          <w:u w:val="single"/>
        </w:rPr>
        <w:t xml:space="preserve"> </w:t>
      </w:r>
    </w:p>
    <w:p w:rsidR="00E56818" w:rsidRPr="00E56818" w:rsidRDefault="00E56818" w:rsidP="00E56818">
      <w:pPr>
        <w:tabs>
          <w:tab w:val="left" w:pos="-720"/>
        </w:tabs>
        <w:suppressAutoHyphens/>
        <w:ind w:left="720" w:hanging="720"/>
        <w:rPr>
          <w:rFonts w:ascii="Arial" w:hAnsi="Arial"/>
          <w:spacing w:val="-3"/>
          <w:sz w:val="20"/>
          <w:szCs w:val="20"/>
        </w:rPr>
      </w:pPr>
      <w:r w:rsidRPr="00E56818">
        <w:rPr>
          <w:rFonts w:ascii="Arial" w:hAnsi="Arial"/>
          <w:spacing w:val="-3"/>
          <w:sz w:val="20"/>
          <w:szCs w:val="20"/>
        </w:rPr>
        <w:t>The SE-HMDS Request form may be used for all requests. It is published at:</w:t>
      </w:r>
    </w:p>
    <w:p w:rsidR="00E56818" w:rsidRPr="00E56818" w:rsidRDefault="00B54957" w:rsidP="00E56818">
      <w:pPr>
        <w:tabs>
          <w:tab w:val="left" w:pos="-720"/>
        </w:tabs>
        <w:suppressAutoHyphens/>
        <w:rPr>
          <w:rFonts w:ascii="Arial" w:hAnsi="Arial"/>
        </w:rPr>
      </w:pPr>
      <w:hyperlink r:id="rId18" w:history="1">
        <w:r w:rsidR="00E56818" w:rsidRPr="00E56818">
          <w:rPr>
            <w:rStyle w:val="Hyperlink"/>
            <w:rFonts w:ascii="Arial" w:hAnsi="Arial"/>
          </w:rPr>
          <w:t>Haemato-Oncology – South East Genomics</w:t>
        </w:r>
      </w:hyperlink>
    </w:p>
    <w:p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 xml:space="preserve">All hand written forms should be completed legibly.  </w:t>
      </w:r>
    </w:p>
    <w:p w:rsidR="00E56818" w:rsidRP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Referral of samples from the EPR system or accompanied by a signed and completed SE-HMDS request form and acceptance of this sample for testing by the laboratory constitutes an agreement between the Requester and the SE-HMDS laboratories.</w:t>
      </w:r>
    </w:p>
    <w:p w:rsidR="00E56818" w:rsidRPr="00E56818" w:rsidRDefault="00E56818" w:rsidP="00E56818">
      <w:pPr>
        <w:tabs>
          <w:tab w:val="left" w:pos="-720"/>
        </w:tabs>
        <w:suppressAutoHyphens/>
        <w:spacing w:after="0"/>
        <w:rPr>
          <w:rFonts w:ascii="Arial" w:hAnsi="Arial"/>
          <w:spacing w:val="-3"/>
          <w:sz w:val="16"/>
        </w:rPr>
      </w:pPr>
    </w:p>
    <w:p w:rsidR="00E56818" w:rsidRPr="00E56818" w:rsidRDefault="00E56818" w:rsidP="00E56818">
      <w:pPr>
        <w:pStyle w:val="Heading3"/>
        <w:numPr>
          <w:ilvl w:val="0"/>
          <w:numId w:val="0"/>
        </w:numPr>
        <w:spacing w:after="0"/>
        <w:jc w:val="left"/>
        <w:rPr>
          <w:b/>
          <w:sz w:val="24"/>
          <w:u w:val="single"/>
        </w:rPr>
      </w:pPr>
      <w:bookmarkStart w:id="14" w:name="_Dataset:"/>
      <w:bookmarkEnd w:id="14"/>
      <w:r w:rsidRPr="00E56818">
        <w:rPr>
          <w:b/>
          <w:sz w:val="24"/>
          <w:u w:val="single"/>
        </w:rPr>
        <w:t>Dataset:</w:t>
      </w:r>
    </w:p>
    <w:p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 xml:space="preserve">An EPR-based or a paper-based request must accompany all specimens sent to the laboratory. It must state the following information clearly and legibly. </w:t>
      </w:r>
    </w:p>
    <w:p w:rsidR="00E56818" w:rsidRPr="00E56818" w:rsidRDefault="00E56818" w:rsidP="00E56818">
      <w:pPr>
        <w:tabs>
          <w:tab w:val="left" w:pos="-720"/>
        </w:tabs>
        <w:suppressAutoHyphens/>
        <w:spacing w:before="120"/>
        <w:rPr>
          <w:rFonts w:ascii="Arial" w:hAnsi="Arial"/>
          <w:b/>
          <w:spacing w:val="-3"/>
          <w:sz w:val="20"/>
          <w:szCs w:val="20"/>
        </w:rPr>
      </w:pPr>
      <w:r w:rsidRPr="00E56818">
        <w:rPr>
          <w:rFonts w:ascii="Arial" w:hAnsi="Arial"/>
          <w:b/>
          <w:spacing w:val="-3"/>
          <w:sz w:val="20"/>
          <w:szCs w:val="20"/>
        </w:rPr>
        <w:t>The details on the sample must have at least three points of identification (i.e. surname and first name, date of birth and hospital number or NHS number) and these must be identical on the request form to link the sample and request form unequivocally and for the sample to be processed.</w:t>
      </w:r>
    </w:p>
    <w:p w:rsidR="00E56818" w:rsidRPr="00E56818" w:rsidRDefault="00E56818" w:rsidP="00E56818">
      <w:pPr>
        <w:tabs>
          <w:tab w:val="left" w:pos="-720"/>
        </w:tabs>
        <w:suppressAutoHyphens/>
        <w:spacing w:before="120"/>
        <w:rPr>
          <w:rFonts w:ascii="Arial" w:hAnsi="Arial"/>
          <w:b/>
          <w:spacing w:val="-3"/>
          <w:sz w:val="20"/>
          <w:szCs w:val="20"/>
          <w:u w:val="single"/>
        </w:rPr>
      </w:pPr>
      <w:r w:rsidRPr="00E56818">
        <w:rPr>
          <w:rFonts w:ascii="Arial" w:hAnsi="Arial"/>
          <w:b/>
          <w:spacing w:val="-3"/>
          <w:sz w:val="20"/>
          <w:szCs w:val="20"/>
          <w:u w:val="single"/>
        </w:rPr>
        <w:t>Note the use of the NHS number is a legal requirement within the NHS and is essential to include on all requests.</w:t>
      </w:r>
    </w:p>
    <w:p w:rsidR="00E56818" w:rsidRPr="00E56818" w:rsidRDefault="00E56818" w:rsidP="00E56818">
      <w:pPr>
        <w:tabs>
          <w:tab w:val="left" w:pos="-720"/>
        </w:tabs>
        <w:suppressAutoHyphens/>
        <w:spacing w:before="120"/>
        <w:rPr>
          <w:rFonts w:ascii="Arial" w:hAnsi="Arial"/>
          <w:b/>
          <w:spacing w:val="-3"/>
          <w:sz w:val="20"/>
          <w:szCs w:val="20"/>
        </w:rPr>
      </w:pPr>
      <w:r w:rsidRPr="00E56818">
        <w:rPr>
          <w:rFonts w:ascii="Arial" w:hAnsi="Arial"/>
          <w:b/>
          <w:spacing w:val="-3"/>
          <w:sz w:val="20"/>
          <w:szCs w:val="20"/>
        </w:rPr>
        <w:t>The minimum dataset requirement for the form is listed below.</w:t>
      </w:r>
    </w:p>
    <w:p w:rsidR="00E56818" w:rsidRPr="00E56818" w:rsidRDefault="00E56818" w:rsidP="00E56818">
      <w:pPr>
        <w:tabs>
          <w:tab w:val="left" w:pos="-720"/>
        </w:tabs>
        <w:suppressAutoHyphens/>
        <w:spacing w:before="120"/>
        <w:rPr>
          <w:rFonts w:ascii="Arial" w:hAnsi="Arial"/>
          <w:b/>
          <w:color w:val="FF0000"/>
          <w:spacing w:val="-3"/>
          <w:sz w:val="20"/>
          <w:szCs w:val="20"/>
          <w:u w:val="single"/>
        </w:rPr>
      </w:pPr>
      <w:r w:rsidRPr="00E56818">
        <w:rPr>
          <w:rFonts w:ascii="Arial" w:hAnsi="Arial"/>
          <w:b/>
          <w:color w:val="FF0000"/>
          <w:spacing w:val="-3"/>
          <w:sz w:val="20"/>
          <w:szCs w:val="20"/>
          <w:u w:val="single"/>
        </w:rPr>
        <w:lastRenderedPageBreak/>
        <w:t>Patient Identifying Data:</w:t>
      </w:r>
    </w:p>
    <w:p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b/>
          <w:color w:val="FF0000"/>
          <w:spacing w:val="-3"/>
          <w:sz w:val="20"/>
          <w:szCs w:val="20"/>
        </w:rPr>
      </w:pPr>
      <w:r w:rsidRPr="00E56818">
        <w:rPr>
          <w:rFonts w:ascii="Arial" w:hAnsi="Arial"/>
          <w:b/>
          <w:color w:val="FF0000"/>
          <w:spacing w:val="-3"/>
          <w:sz w:val="20"/>
          <w:szCs w:val="20"/>
        </w:rPr>
        <w:t xml:space="preserve">Surname/family name and first name(s) in full (surname and first name are one identifier) </w:t>
      </w:r>
    </w:p>
    <w:p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b/>
          <w:color w:val="FF0000"/>
          <w:spacing w:val="-3"/>
          <w:sz w:val="20"/>
          <w:szCs w:val="20"/>
        </w:rPr>
      </w:pPr>
      <w:r w:rsidRPr="00E56818">
        <w:rPr>
          <w:rFonts w:ascii="Arial" w:hAnsi="Arial"/>
          <w:b/>
          <w:color w:val="FF0000"/>
          <w:spacing w:val="-3"/>
          <w:sz w:val="20"/>
          <w:szCs w:val="20"/>
        </w:rPr>
        <w:t xml:space="preserve">NHS number, hospital number (KCH or other hospital) or other patient unique identification number (the same number must be on both the tube and the form) </w:t>
      </w:r>
    </w:p>
    <w:p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b/>
          <w:color w:val="FF0000"/>
          <w:spacing w:val="-3"/>
          <w:sz w:val="20"/>
          <w:szCs w:val="20"/>
        </w:rPr>
      </w:pPr>
      <w:r w:rsidRPr="00E56818">
        <w:rPr>
          <w:rFonts w:ascii="Arial" w:hAnsi="Arial"/>
          <w:b/>
          <w:color w:val="FF0000"/>
          <w:spacing w:val="-3"/>
          <w:sz w:val="20"/>
          <w:szCs w:val="20"/>
        </w:rPr>
        <w:t>Date of birth</w:t>
      </w:r>
    </w:p>
    <w:p w:rsidR="00E56818" w:rsidRPr="00E56818" w:rsidRDefault="00E56818" w:rsidP="00E56818">
      <w:pPr>
        <w:tabs>
          <w:tab w:val="left" w:pos="-720"/>
        </w:tabs>
        <w:suppressAutoHyphens/>
        <w:rPr>
          <w:rFonts w:ascii="Arial" w:hAnsi="Arial"/>
          <w:b/>
          <w:color w:val="FF0000"/>
          <w:spacing w:val="-3"/>
          <w:sz w:val="20"/>
          <w:szCs w:val="20"/>
          <w:u w:val="single"/>
        </w:rPr>
      </w:pPr>
      <w:r w:rsidRPr="00E56818">
        <w:rPr>
          <w:rFonts w:ascii="Arial" w:hAnsi="Arial"/>
          <w:b/>
          <w:color w:val="FF0000"/>
          <w:spacing w:val="-3"/>
          <w:sz w:val="20"/>
          <w:szCs w:val="20"/>
          <w:u w:val="single"/>
        </w:rPr>
        <w:t>Sample Identifying Data:</w:t>
      </w:r>
    </w:p>
    <w:p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b/>
          <w:color w:val="FF0000"/>
          <w:spacing w:val="-3"/>
          <w:sz w:val="20"/>
          <w:szCs w:val="20"/>
        </w:rPr>
      </w:pPr>
      <w:r w:rsidRPr="00E56818">
        <w:rPr>
          <w:rFonts w:ascii="Arial" w:hAnsi="Arial"/>
          <w:b/>
          <w:color w:val="FF0000"/>
          <w:spacing w:val="-3"/>
          <w:sz w:val="20"/>
          <w:szCs w:val="20"/>
        </w:rPr>
        <w:t>Date specimen taken</w:t>
      </w:r>
    </w:p>
    <w:p w:rsidR="00E56818" w:rsidRPr="00E56818" w:rsidRDefault="00E56818" w:rsidP="00E56818">
      <w:pPr>
        <w:tabs>
          <w:tab w:val="left" w:pos="-720"/>
        </w:tabs>
        <w:suppressAutoHyphens/>
        <w:rPr>
          <w:rFonts w:ascii="Arial" w:hAnsi="Arial"/>
          <w:b/>
          <w:color w:val="FF0000"/>
          <w:spacing w:val="-3"/>
          <w:sz w:val="20"/>
          <w:szCs w:val="20"/>
          <w:u w:val="single"/>
        </w:rPr>
      </w:pPr>
      <w:r w:rsidRPr="00E56818">
        <w:rPr>
          <w:rFonts w:ascii="Arial" w:hAnsi="Arial"/>
          <w:b/>
          <w:color w:val="FF0000"/>
          <w:spacing w:val="-3"/>
          <w:sz w:val="20"/>
          <w:szCs w:val="20"/>
          <w:u w:val="single"/>
        </w:rPr>
        <w:t>Other Essential Data Required for Acceptance</w:t>
      </w:r>
    </w:p>
    <w:p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b/>
          <w:color w:val="FF0000"/>
          <w:spacing w:val="-3"/>
          <w:sz w:val="20"/>
          <w:szCs w:val="20"/>
        </w:rPr>
      </w:pPr>
      <w:r w:rsidRPr="00E56818">
        <w:rPr>
          <w:rFonts w:ascii="Arial" w:hAnsi="Arial"/>
          <w:b/>
          <w:color w:val="FF0000"/>
          <w:spacing w:val="-3"/>
          <w:sz w:val="20"/>
          <w:szCs w:val="20"/>
        </w:rPr>
        <w:t xml:space="preserve">Type of specimen </w:t>
      </w:r>
    </w:p>
    <w:p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b/>
          <w:color w:val="FF0000"/>
          <w:spacing w:val="-3"/>
          <w:sz w:val="20"/>
          <w:szCs w:val="20"/>
        </w:rPr>
      </w:pPr>
      <w:r w:rsidRPr="00E56818">
        <w:rPr>
          <w:rFonts w:ascii="Arial" w:hAnsi="Arial"/>
          <w:b/>
          <w:color w:val="FF0000"/>
          <w:spacing w:val="-3"/>
          <w:sz w:val="20"/>
          <w:szCs w:val="20"/>
        </w:rPr>
        <w:t>Tests required</w:t>
      </w:r>
    </w:p>
    <w:p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b/>
          <w:color w:val="FF0000"/>
          <w:spacing w:val="-3"/>
          <w:sz w:val="20"/>
          <w:szCs w:val="20"/>
        </w:rPr>
      </w:pPr>
      <w:r w:rsidRPr="00E56818">
        <w:rPr>
          <w:rFonts w:ascii="Arial" w:hAnsi="Arial"/>
          <w:b/>
          <w:color w:val="FF0000"/>
          <w:spacing w:val="-3"/>
          <w:sz w:val="20"/>
          <w:szCs w:val="20"/>
        </w:rPr>
        <w:t>Address for report</w:t>
      </w:r>
    </w:p>
    <w:p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b/>
          <w:color w:val="FF0000"/>
          <w:spacing w:val="-3"/>
          <w:sz w:val="20"/>
          <w:szCs w:val="20"/>
        </w:rPr>
      </w:pPr>
      <w:r w:rsidRPr="00E56818">
        <w:rPr>
          <w:rFonts w:ascii="Arial" w:hAnsi="Arial"/>
          <w:b/>
          <w:color w:val="FF0000"/>
          <w:spacing w:val="-3"/>
          <w:sz w:val="20"/>
          <w:szCs w:val="20"/>
        </w:rPr>
        <w:t>Requesting Consultant</w:t>
      </w:r>
    </w:p>
    <w:p w:rsidR="00E56818" w:rsidRPr="00E56818" w:rsidRDefault="00E56818" w:rsidP="00E56818">
      <w:pPr>
        <w:tabs>
          <w:tab w:val="left" w:pos="-720"/>
          <w:tab w:val="left" w:pos="0"/>
          <w:tab w:val="left" w:pos="720"/>
        </w:tabs>
        <w:suppressAutoHyphens/>
        <w:spacing w:after="0"/>
        <w:ind w:left="360"/>
        <w:rPr>
          <w:rFonts w:ascii="Arial" w:hAnsi="Arial"/>
          <w:b/>
          <w:spacing w:val="-3"/>
          <w:sz w:val="20"/>
          <w:szCs w:val="20"/>
        </w:rPr>
      </w:pPr>
    </w:p>
    <w:p w:rsidR="00E56818" w:rsidRPr="00E56818" w:rsidRDefault="00E56818" w:rsidP="00E56818">
      <w:pPr>
        <w:tabs>
          <w:tab w:val="left" w:pos="-720"/>
          <w:tab w:val="left" w:pos="0"/>
          <w:tab w:val="left" w:pos="720"/>
        </w:tabs>
        <w:suppressAutoHyphens/>
        <w:spacing w:after="0"/>
        <w:ind w:left="360" w:hanging="360"/>
        <w:rPr>
          <w:rFonts w:ascii="Arial" w:hAnsi="Arial"/>
          <w:b/>
          <w:spacing w:val="-3"/>
          <w:sz w:val="20"/>
          <w:szCs w:val="20"/>
        </w:rPr>
      </w:pPr>
      <w:r w:rsidRPr="00E56818">
        <w:rPr>
          <w:rFonts w:ascii="Arial" w:hAnsi="Arial"/>
          <w:b/>
          <w:spacing w:val="-3"/>
          <w:sz w:val="20"/>
          <w:szCs w:val="20"/>
        </w:rPr>
        <w:t>Other useful data</w:t>
      </w:r>
    </w:p>
    <w:p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Contact details of the requester (Email and Phone)</w:t>
      </w:r>
    </w:p>
    <w:p w:rsidR="00E56818" w:rsidRPr="00E56818" w:rsidRDefault="00E56818" w:rsidP="00E56818">
      <w:pPr>
        <w:numPr>
          <w:ilvl w:val="0"/>
          <w:numId w:val="29"/>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All relevant clinical details including:</w:t>
      </w:r>
    </w:p>
    <w:p w:rsidR="00E56818" w:rsidRPr="00E56818" w:rsidRDefault="00E56818" w:rsidP="00E56818">
      <w:pPr>
        <w:numPr>
          <w:ilvl w:val="2"/>
          <w:numId w:val="29"/>
        </w:numPr>
        <w:tabs>
          <w:tab w:val="left" w:pos="-720"/>
          <w:tab w:val="left" w:pos="0"/>
          <w:tab w:val="left" w:pos="720"/>
        </w:tabs>
        <w:suppressAutoHyphens/>
        <w:spacing w:after="0"/>
        <w:rPr>
          <w:rFonts w:ascii="Arial" w:hAnsi="Arial"/>
          <w:spacing w:val="-3"/>
          <w:sz w:val="20"/>
          <w:szCs w:val="20"/>
        </w:rPr>
      </w:pPr>
      <w:r w:rsidRPr="00E56818">
        <w:rPr>
          <w:rFonts w:ascii="Arial" w:hAnsi="Arial"/>
          <w:spacing w:val="-3"/>
          <w:sz w:val="20"/>
          <w:szCs w:val="20"/>
        </w:rPr>
        <w:t>Treatment</w:t>
      </w:r>
    </w:p>
    <w:p w:rsidR="00E56818" w:rsidRPr="00E56818" w:rsidRDefault="00E56818" w:rsidP="00E56818">
      <w:pPr>
        <w:numPr>
          <w:ilvl w:val="2"/>
          <w:numId w:val="29"/>
        </w:numPr>
        <w:tabs>
          <w:tab w:val="left" w:pos="-720"/>
          <w:tab w:val="left" w:pos="0"/>
          <w:tab w:val="left" w:pos="720"/>
        </w:tabs>
        <w:suppressAutoHyphens/>
        <w:spacing w:after="0"/>
        <w:rPr>
          <w:rFonts w:ascii="Arial" w:hAnsi="Arial"/>
          <w:spacing w:val="-3"/>
          <w:sz w:val="20"/>
          <w:szCs w:val="20"/>
        </w:rPr>
      </w:pPr>
      <w:r w:rsidRPr="00E56818">
        <w:rPr>
          <w:rFonts w:ascii="Arial" w:hAnsi="Arial"/>
          <w:spacing w:val="-3"/>
          <w:sz w:val="20"/>
          <w:szCs w:val="20"/>
        </w:rPr>
        <w:t>Transplant date (if transplanted)</w:t>
      </w:r>
    </w:p>
    <w:p w:rsidR="00E56818" w:rsidRPr="00E56818" w:rsidRDefault="00E56818" w:rsidP="00E56818">
      <w:pPr>
        <w:numPr>
          <w:ilvl w:val="2"/>
          <w:numId w:val="29"/>
        </w:numPr>
        <w:tabs>
          <w:tab w:val="left" w:pos="-720"/>
          <w:tab w:val="left" w:pos="0"/>
          <w:tab w:val="left" w:pos="720"/>
        </w:tabs>
        <w:suppressAutoHyphens/>
        <w:spacing w:after="0"/>
        <w:rPr>
          <w:rFonts w:ascii="Arial" w:hAnsi="Arial"/>
          <w:spacing w:val="-3"/>
          <w:sz w:val="20"/>
          <w:szCs w:val="20"/>
        </w:rPr>
      </w:pPr>
      <w:r w:rsidRPr="00E56818">
        <w:rPr>
          <w:rFonts w:ascii="Arial" w:hAnsi="Arial"/>
          <w:spacing w:val="-3"/>
          <w:sz w:val="20"/>
          <w:szCs w:val="20"/>
        </w:rPr>
        <w:t>Known molecular features Transcript type (e.g. BCR::ABL1 P210 or P190)</w:t>
      </w:r>
    </w:p>
    <w:p w:rsidR="00E56818" w:rsidRPr="00E56818" w:rsidRDefault="00E56818" w:rsidP="00E56818">
      <w:pPr>
        <w:tabs>
          <w:tab w:val="left" w:pos="-720"/>
        </w:tabs>
        <w:suppressAutoHyphens/>
        <w:spacing w:before="120" w:after="0"/>
        <w:rPr>
          <w:rFonts w:ascii="Arial" w:hAnsi="Arial"/>
          <w:spacing w:val="-3"/>
          <w:sz w:val="20"/>
          <w:szCs w:val="20"/>
        </w:rPr>
      </w:pPr>
      <w:r w:rsidRPr="00E56818">
        <w:rPr>
          <w:rFonts w:ascii="Arial" w:hAnsi="Arial"/>
          <w:spacing w:val="-3"/>
          <w:sz w:val="20"/>
          <w:szCs w:val="20"/>
        </w:rPr>
        <w:t>If uncertain about the exact test and terminology, please give a detailed clinical history as this can help SE-HMDS &amp; LMH personnel to decide the most appropriate investigations.</w:t>
      </w:r>
    </w:p>
    <w:p w:rsidR="00E56818" w:rsidRPr="00E56818" w:rsidRDefault="00E56818" w:rsidP="00E56818">
      <w:pPr>
        <w:tabs>
          <w:tab w:val="left" w:pos="-720"/>
        </w:tabs>
        <w:suppressAutoHyphens/>
        <w:spacing w:after="0"/>
        <w:rPr>
          <w:rFonts w:ascii="Arial" w:hAnsi="Arial"/>
          <w:spacing w:val="-3"/>
          <w:sz w:val="16"/>
        </w:rPr>
      </w:pP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15" w:name="_Toc114849218"/>
      <w:r w:rsidRPr="00E56818">
        <w:t>Specimen Labelling</w:t>
      </w:r>
      <w:bookmarkEnd w:id="15"/>
    </w:p>
    <w:p w:rsidR="00E56818" w:rsidRPr="00E56818" w:rsidRDefault="00E56818" w:rsidP="00E56818">
      <w:pPr>
        <w:numPr>
          <w:ilvl w:val="0"/>
          <w:numId w:val="31"/>
        </w:numPr>
        <w:tabs>
          <w:tab w:val="left" w:pos="-720"/>
        </w:tabs>
        <w:suppressAutoHyphens/>
        <w:spacing w:after="0"/>
        <w:rPr>
          <w:rFonts w:ascii="Arial" w:hAnsi="Arial"/>
          <w:spacing w:val="-3"/>
          <w:sz w:val="20"/>
          <w:szCs w:val="20"/>
        </w:rPr>
      </w:pPr>
      <w:r w:rsidRPr="00E56818">
        <w:rPr>
          <w:rFonts w:ascii="Arial" w:hAnsi="Arial"/>
          <w:spacing w:val="-3"/>
          <w:sz w:val="20"/>
          <w:szCs w:val="20"/>
        </w:rPr>
        <w:t>Use labels wherever possible. Samples must have handwritten labels unless demand-printed labels are produced at the time of phlebotomy or biopsy.</w:t>
      </w:r>
    </w:p>
    <w:p w:rsidR="00E56818" w:rsidRPr="00E56818" w:rsidRDefault="00E56818" w:rsidP="00E56818">
      <w:pPr>
        <w:numPr>
          <w:ilvl w:val="0"/>
          <w:numId w:val="31"/>
        </w:numPr>
        <w:tabs>
          <w:tab w:val="left" w:pos="-720"/>
        </w:tabs>
        <w:suppressAutoHyphens/>
        <w:spacing w:after="0"/>
        <w:rPr>
          <w:rFonts w:ascii="Arial" w:hAnsi="Arial"/>
          <w:spacing w:val="-3"/>
          <w:sz w:val="20"/>
          <w:szCs w:val="20"/>
        </w:rPr>
      </w:pPr>
      <w:r w:rsidRPr="00E56818">
        <w:rPr>
          <w:rFonts w:ascii="Arial" w:hAnsi="Arial"/>
          <w:spacing w:val="-3"/>
          <w:sz w:val="20"/>
          <w:szCs w:val="20"/>
        </w:rPr>
        <w:t>The specimen must be labelled with the same patient details as those on the request form</w:t>
      </w:r>
    </w:p>
    <w:p w:rsidR="00E56818" w:rsidRPr="00E56818" w:rsidRDefault="00E56818" w:rsidP="00E56818">
      <w:pPr>
        <w:numPr>
          <w:ilvl w:val="0"/>
          <w:numId w:val="31"/>
        </w:numPr>
        <w:tabs>
          <w:tab w:val="left" w:pos="-720"/>
        </w:tabs>
        <w:suppressAutoHyphens/>
        <w:spacing w:after="0"/>
        <w:rPr>
          <w:rFonts w:ascii="Arial" w:hAnsi="Arial"/>
          <w:spacing w:val="-3"/>
          <w:sz w:val="20"/>
          <w:szCs w:val="20"/>
        </w:rPr>
      </w:pPr>
      <w:r w:rsidRPr="00E56818">
        <w:rPr>
          <w:rFonts w:ascii="Arial" w:hAnsi="Arial"/>
          <w:spacing w:val="-3"/>
          <w:sz w:val="20"/>
          <w:szCs w:val="20"/>
        </w:rPr>
        <w:t>Please ensure that hand written details are legible</w:t>
      </w:r>
    </w:p>
    <w:p w:rsidR="00E56818" w:rsidRPr="00E56818" w:rsidRDefault="00E56818" w:rsidP="00E56818">
      <w:pPr>
        <w:numPr>
          <w:ilvl w:val="0"/>
          <w:numId w:val="31"/>
        </w:numPr>
        <w:tabs>
          <w:tab w:val="left" w:pos="-720"/>
        </w:tabs>
        <w:suppressAutoHyphens/>
        <w:spacing w:after="0"/>
        <w:rPr>
          <w:rFonts w:ascii="Arial" w:hAnsi="Arial"/>
          <w:spacing w:val="-3"/>
          <w:sz w:val="20"/>
          <w:szCs w:val="20"/>
        </w:rPr>
      </w:pPr>
      <w:r w:rsidRPr="00E56818">
        <w:rPr>
          <w:rFonts w:ascii="Arial" w:hAnsi="Arial"/>
          <w:spacing w:val="-3"/>
          <w:sz w:val="20"/>
          <w:szCs w:val="20"/>
        </w:rPr>
        <w:t>Please note that unlabelled or inadequately labelled specimens cannot be processed and will be discarded.</w:t>
      </w:r>
    </w:p>
    <w:p w:rsidR="00E56818" w:rsidRPr="00E56818" w:rsidRDefault="00E56818" w:rsidP="00E56818">
      <w:pPr>
        <w:tabs>
          <w:tab w:val="left" w:pos="-720"/>
        </w:tabs>
        <w:suppressAutoHyphens/>
        <w:spacing w:after="0"/>
        <w:rPr>
          <w:rFonts w:ascii="Arial" w:hAnsi="Arial"/>
          <w:spacing w:val="-3"/>
          <w:sz w:val="16"/>
        </w:rPr>
      </w:pPr>
      <w:bookmarkStart w:id="16" w:name="_Toc75134152"/>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17" w:name="_Toc114849219"/>
      <w:r w:rsidRPr="00E56818">
        <w:t>Specimen Collection</w:t>
      </w:r>
      <w:bookmarkEnd w:id="16"/>
      <w:bookmarkEnd w:id="17"/>
    </w:p>
    <w:p w:rsid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The best results are obtained when an appropriate, well-taken specimen is in the proper container, is delivered to the laboratory promptly and relevant clinical information is provided on the request form. Please contact the laboratory if there is any doubt about the best specimen to take or you have questions about any test.</w:t>
      </w:r>
    </w:p>
    <w:p w:rsidR="00B61456" w:rsidRPr="00E56818" w:rsidRDefault="00B61456" w:rsidP="00E56818">
      <w:pPr>
        <w:tabs>
          <w:tab w:val="left" w:pos="-720"/>
        </w:tabs>
        <w:suppressAutoHyphens/>
        <w:rPr>
          <w:rFonts w:ascii="Arial" w:hAnsi="Arial"/>
          <w:spacing w:val="-3"/>
          <w:sz w:val="20"/>
          <w:szCs w:val="20"/>
        </w:rPr>
      </w:pPr>
    </w:p>
    <w:p w:rsidR="00E56818" w:rsidRPr="00E56818" w:rsidRDefault="00E56818" w:rsidP="00E56818">
      <w:pPr>
        <w:tabs>
          <w:tab w:val="left" w:pos="-720"/>
        </w:tabs>
        <w:suppressAutoHyphens/>
        <w:rPr>
          <w:rFonts w:ascii="Arial" w:hAnsi="Arial"/>
          <w:b/>
          <w:spacing w:val="-3"/>
          <w:sz w:val="20"/>
          <w:szCs w:val="20"/>
        </w:rPr>
      </w:pPr>
      <w:r w:rsidRPr="00E56818">
        <w:rPr>
          <w:rFonts w:ascii="Arial" w:hAnsi="Arial"/>
          <w:b/>
          <w:spacing w:val="-3"/>
          <w:sz w:val="20"/>
          <w:szCs w:val="20"/>
        </w:rPr>
        <w:t>General guidance on specimen collection includes:</w:t>
      </w:r>
    </w:p>
    <w:p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Send specimens in sterile containers</w:t>
      </w:r>
    </w:p>
    <w:p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 xml:space="preserve">Take specimens that are representative of the disease process.  </w:t>
      </w:r>
    </w:p>
    <w:p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 xml:space="preserve">An adequate quantity of material should be obtained for complete examination (refer to </w:t>
      </w:r>
      <w:hyperlink r:id="rId19" w:history="1">
        <w:r w:rsidRPr="00E56818">
          <w:rPr>
            <w:rStyle w:val="Hyperlink"/>
            <w:rFonts w:ascii="Arial" w:hAnsi="Arial"/>
            <w:spacing w:val="-3"/>
            <w:sz w:val="20"/>
            <w:szCs w:val="20"/>
          </w:rPr>
          <w:t>SE-HMDS request form</w:t>
        </w:r>
      </w:hyperlink>
      <w:r w:rsidRPr="00E56818">
        <w:rPr>
          <w:rFonts w:ascii="Arial" w:hAnsi="Arial"/>
          <w:spacing w:val="-3"/>
          <w:sz w:val="20"/>
          <w:szCs w:val="20"/>
        </w:rPr>
        <w:t xml:space="preserve"> for required volumes)</w:t>
      </w:r>
    </w:p>
    <w:p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Sample tubes must not be opened following blood collection or used for any testing prior to being sent</w:t>
      </w:r>
    </w:p>
    <w:p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Sample tubes must be stored at ambient temp. (15</w:t>
      </w:r>
      <w:r w:rsidRPr="00E56818">
        <w:rPr>
          <w:rFonts w:ascii="Arial" w:hAnsi="Arial"/>
          <w:spacing w:val="-3"/>
          <w:sz w:val="20"/>
          <w:szCs w:val="20"/>
          <w:vertAlign w:val="superscript"/>
        </w:rPr>
        <w:t>o</w:t>
      </w:r>
      <w:r w:rsidRPr="00E56818">
        <w:rPr>
          <w:rFonts w:ascii="Arial" w:hAnsi="Arial"/>
          <w:spacing w:val="-3"/>
          <w:sz w:val="20"/>
          <w:szCs w:val="20"/>
        </w:rPr>
        <w:t>C to 25</w:t>
      </w:r>
      <w:r w:rsidRPr="00E56818">
        <w:rPr>
          <w:rFonts w:ascii="Arial" w:hAnsi="Arial"/>
          <w:spacing w:val="-3"/>
          <w:sz w:val="20"/>
          <w:szCs w:val="20"/>
          <w:vertAlign w:val="superscript"/>
        </w:rPr>
        <w:t>o</w:t>
      </w:r>
      <w:r w:rsidRPr="00E56818">
        <w:rPr>
          <w:rFonts w:ascii="Arial" w:hAnsi="Arial"/>
          <w:spacing w:val="-3"/>
          <w:sz w:val="20"/>
          <w:szCs w:val="20"/>
        </w:rPr>
        <w:t xml:space="preserve">C) avoid extremes of temperature before transport.  </w:t>
      </w:r>
    </w:p>
    <w:p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Samples MUST be labelled, dated and signed by the person taking the sample.</w:t>
      </w:r>
    </w:p>
    <w:p w:rsidR="00E56818" w:rsidRPr="00E56818" w:rsidRDefault="00E56818" w:rsidP="00E56818">
      <w:pPr>
        <w:tabs>
          <w:tab w:val="left" w:pos="-720"/>
          <w:tab w:val="left" w:pos="0"/>
          <w:tab w:val="left" w:pos="720"/>
        </w:tabs>
        <w:suppressAutoHyphens/>
        <w:spacing w:after="0"/>
        <w:ind w:left="720"/>
        <w:rPr>
          <w:rFonts w:ascii="Arial" w:hAnsi="Arial"/>
          <w:spacing w:val="-3"/>
          <w:sz w:val="20"/>
          <w:szCs w:val="20"/>
        </w:rPr>
      </w:pPr>
    </w:p>
    <w:p w:rsidR="00B61456" w:rsidRDefault="00B61456">
      <w:pPr>
        <w:spacing w:after="0"/>
        <w:jc w:val="left"/>
        <w:rPr>
          <w:rFonts w:ascii="Arial" w:hAnsi="Arial"/>
          <w:b/>
        </w:rPr>
      </w:pPr>
      <w:r>
        <w:br w:type="page"/>
      </w: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18" w:name="_Toc114849220"/>
      <w:r w:rsidRPr="00E56818">
        <w:lastRenderedPageBreak/>
        <w:t>Specimen Limitations Affecting Assay Performance</w:t>
      </w:r>
      <w:bookmarkEnd w:id="18"/>
    </w:p>
    <w:p w:rsidR="00E56818" w:rsidRP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Factors that can affect assay performance are as follows</w:t>
      </w:r>
    </w:p>
    <w:p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collection container: use of correct blood collection tubes – EDTA is required for molecular investigations</w:t>
      </w:r>
    </w:p>
    <w:p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Sample volume (this is particularly important for all RNA-based assays where volumes &lt; 20ml may be insufficient)</w:t>
      </w:r>
    </w:p>
    <w:p w:rsidR="00E56818" w:rsidRPr="00E56818" w:rsidRDefault="00E56818" w:rsidP="00E56818">
      <w:pPr>
        <w:numPr>
          <w:ilvl w:val="0"/>
          <w:numId w:val="30"/>
        </w:numPr>
        <w:tabs>
          <w:tab w:val="left" w:pos="-720"/>
          <w:tab w:val="left" w:pos="0"/>
          <w:tab w:val="left" w:pos="720"/>
        </w:tabs>
        <w:suppressAutoHyphens/>
        <w:spacing w:after="0"/>
        <w:ind w:left="720"/>
        <w:rPr>
          <w:rFonts w:ascii="Arial" w:hAnsi="Arial"/>
          <w:spacing w:val="-3"/>
          <w:sz w:val="20"/>
          <w:szCs w:val="20"/>
        </w:rPr>
      </w:pPr>
      <w:r w:rsidRPr="00E56818">
        <w:rPr>
          <w:rFonts w:ascii="Arial" w:hAnsi="Arial"/>
          <w:spacing w:val="-3"/>
          <w:sz w:val="20"/>
          <w:szCs w:val="20"/>
        </w:rPr>
        <w:t>Storage and transportation conditions (see below)</w:t>
      </w:r>
    </w:p>
    <w:p w:rsidR="00E56818" w:rsidRPr="00E56818" w:rsidRDefault="00E56818" w:rsidP="00E56818">
      <w:pPr>
        <w:spacing w:after="0"/>
        <w:rPr>
          <w:rFonts w:ascii="Arial" w:hAnsi="Arial"/>
          <w:sz w:val="16"/>
        </w:rPr>
      </w:pP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19" w:name="_Toc75134145"/>
      <w:bookmarkStart w:id="20" w:name="_Toc114849221"/>
      <w:r w:rsidRPr="00E56818">
        <w:t>Transport and packaging of Specimens</w:t>
      </w:r>
      <w:bookmarkEnd w:id="19"/>
      <w:r w:rsidRPr="00E56818">
        <w:t xml:space="preserve"> (External Customers)</w:t>
      </w:r>
      <w:bookmarkEnd w:id="20"/>
    </w:p>
    <w:p w:rsidR="00E56818" w:rsidRPr="00E56818" w:rsidRDefault="00E56818" w:rsidP="00E56818">
      <w:pPr>
        <w:shd w:val="clear" w:color="auto" w:fill="FFFFFF"/>
        <w:rPr>
          <w:rFonts w:ascii="Arial" w:hAnsi="Arial"/>
          <w:spacing w:val="-3"/>
          <w:sz w:val="20"/>
          <w:szCs w:val="20"/>
        </w:rPr>
      </w:pPr>
      <w:r w:rsidRPr="00E56818">
        <w:rPr>
          <w:rFonts w:ascii="Arial" w:hAnsi="Arial"/>
          <w:spacing w:val="-3"/>
          <w:sz w:val="20"/>
          <w:szCs w:val="20"/>
        </w:rPr>
        <w:t xml:space="preserve">It is the responsibility of the sending organisation to ensure that samples are packaged in accordance with the current European Agreement concerning Carriage of Dangerous Goods by Road Regulations (packaging instructions 650) to prevent breakage or spillage in transit. The outside of the box or package containing the samples must be clearly addressed and the package must be accompanied by a correctly completed request form. Courier / taxi / suitable transport should be arranged by the sending institution or laboratory and the sender is responsible for ensuring the contractor can guarantee safe, timely and controlled transport and accurate delivery. </w:t>
      </w:r>
    </w:p>
    <w:p w:rsidR="00E56818" w:rsidRPr="00E56818" w:rsidRDefault="00E56818" w:rsidP="00E56818">
      <w:pPr>
        <w:shd w:val="clear" w:color="auto" w:fill="FFFFFF"/>
        <w:rPr>
          <w:rFonts w:ascii="Arial" w:hAnsi="Arial"/>
          <w:spacing w:val="-3"/>
          <w:sz w:val="20"/>
          <w:szCs w:val="20"/>
        </w:rPr>
      </w:pPr>
      <w:r w:rsidRPr="00E56818">
        <w:rPr>
          <w:rFonts w:ascii="Arial" w:hAnsi="Arial"/>
          <w:spacing w:val="-3"/>
          <w:sz w:val="20"/>
          <w:szCs w:val="20"/>
        </w:rPr>
        <w:t>Samples must reach the laboratory in time to be processed during laboratory working hours within set time limits after venepuncture. Sample reception is open 24/7 but samples must arrive so that they can be processed within the time limits below.</w:t>
      </w:r>
    </w:p>
    <w:p w:rsidR="00E56818" w:rsidRPr="00E56818" w:rsidRDefault="00E56818" w:rsidP="00E56818">
      <w:pPr>
        <w:shd w:val="clear" w:color="auto" w:fill="FFFFFF"/>
        <w:spacing w:after="0"/>
        <w:rPr>
          <w:rFonts w:ascii="Arial" w:hAnsi="Arial"/>
          <w:spacing w:val="-3"/>
          <w:sz w:val="20"/>
          <w:szCs w:val="20"/>
        </w:rPr>
      </w:pPr>
      <w:r w:rsidRPr="00E56818">
        <w:rPr>
          <w:rFonts w:ascii="Arial" w:hAnsi="Arial"/>
          <w:spacing w:val="-3"/>
          <w:sz w:val="20"/>
          <w:szCs w:val="20"/>
        </w:rPr>
        <w:t xml:space="preserve">First class postage is adequate but samples must be shipped with packaging appropriate for UN 3373 samples following packing instruction 650. See </w:t>
      </w:r>
      <w:hyperlink r:id="rId20" w:history="1">
        <w:r w:rsidRPr="00E56818">
          <w:rPr>
            <w:rStyle w:val="Hyperlink"/>
            <w:rFonts w:ascii="Arial" w:hAnsi="Arial"/>
            <w:spacing w:val="-3"/>
            <w:sz w:val="20"/>
            <w:szCs w:val="20"/>
          </w:rPr>
          <w:t>http://www.royalmail.com/sites/default/files/Guidance-Document-Infectious-Substances-171012.pdf</w:t>
        </w:r>
      </w:hyperlink>
      <w:r w:rsidRPr="00E56818">
        <w:rPr>
          <w:rFonts w:ascii="Arial" w:hAnsi="Arial"/>
          <w:spacing w:val="-3"/>
          <w:sz w:val="20"/>
          <w:szCs w:val="20"/>
        </w:rPr>
        <w:t xml:space="preserve"> for further details: </w:t>
      </w:r>
      <w:r w:rsidRPr="00E56818">
        <w:rPr>
          <w:rFonts w:ascii="Arial" w:hAnsi="Arial"/>
          <w:b/>
          <w:spacing w:val="-3"/>
          <w:sz w:val="20"/>
          <w:szCs w:val="20"/>
        </w:rPr>
        <w:t>Samples must be transported in a way that protects their integrity and must not be exposed to extremes of temperature (&gt; 25</w:t>
      </w:r>
      <w:r w:rsidRPr="00E56818">
        <w:rPr>
          <w:rFonts w:ascii="Arial" w:hAnsi="Arial"/>
          <w:b/>
          <w:spacing w:val="-3"/>
          <w:sz w:val="20"/>
          <w:szCs w:val="20"/>
          <w:vertAlign w:val="superscript"/>
        </w:rPr>
        <w:t>o</w:t>
      </w:r>
      <w:r w:rsidRPr="00E56818">
        <w:rPr>
          <w:rFonts w:ascii="Arial" w:hAnsi="Arial"/>
          <w:b/>
          <w:spacing w:val="-3"/>
          <w:sz w:val="20"/>
          <w:szCs w:val="20"/>
        </w:rPr>
        <w:t>C) or prolonged transport (&gt; 2 days). Storage of samples prior to transport should be at ambient temperature, optimally between 15</w:t>
      </w:r>
      <w:r w:rsidRPr="00E56818">
        <w:rPr>
          <w:rFonts w:ascii="Arial" w:hAnsi="Arial"/>
          <w:b/>
          <w:spacing w:val="-3"/>
          <w:sz w:val="20"/>
          <w:szCs w:val="20"/>
          <w:vertAlign w:val="superscript"/>
        </w:rPr>
        <w:t>o</w:t>
      </w:r>
      <w:r w:rsidRPr="00E56818">
        <w:rPr>
          <w:rFonts w:ascii="Arial" w:hAnsi="Arial"/>
          <w:b/>
          <w:spacing w:val="-3"/>
          <w:sz w:val="20"/>
          <w:szCs w:val="20"/>
        </w:rPr>
        <w:t xml:space="preserve"> and 25</w:t>
      </w:r>
      <w:r w:rsidRPr="00E56818">
        <w:rPr>
          <w:rFonts w:ascii="Arial" w:hAnsi="Arial"/>
          <w:b/>
          <w:spacing w:val="-3"/>
          <w:sz w:val="20"/>
          <w:szCs w:val="20"/>
          <w:vertAlign w:val="superscript"/>
        </w:rPr>
        <w:t>o</w:t>
      </w:r>
      <w:r w:rsidRPr="00E56818">
        <w:rPr>
          <w:rFonts w:ascii="Arial" w:hAnsi="Arial"/>
          <w:b/>
          <w:spacing w:val="-3"/>
          <w:sz w:val="20"/>
          <w:szCs w:val="20"/>
        </w:rPr>
        <w:t>C. Refrigeration is not necessary and maybe detrimental (in the case of chimerism fractionation).</w:t>
      </w:r>
      <w:r w:rsidRPr="00E56818">
        <w:rPr>
          <w:rFonts w:ascii="Arial" w:hAnsi="Arial"/>
          <w:spacing w:val="-3"/>
          <w:sz w:val="20"/>
          <w:szCs w:val="20"/>
        </w:rPr>
        <w:t xml:space="preserve"> If samples are in danger of being exposed to conditions where sample integrity or quality could be compromised or if further advice is needed, please contact the laboratory to discuss the most appropriate method of transport.</w:t>
      </w:r>
    </w:p>
    <w:p w:rsidR="00E56818" w:rsidRPr="00E56818" w:rsidRDefault="00E56818" w:rsidP="00E56818">
      <w:pPr>
        <w:tabs>
          <w:tab w:val="left" w:pos="-720"/>
        </w:tabs>
        <w:suppressAutoHyphens/>
        <w:spacing w:after="0"/>
        <w:rPr>
          <w:rFonts w:ascii="Arial" w:hAnsi="Arial"/>
          <w:spacing w:val="-3"/>
          <w:sz w:val="16"/>
          <w:szCs w:val="16"/>
        </w:rPr>
      </w:pP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21" w:name="_Toc114849222"/>
      <w:r w:rsidRPr="00E56818">
        <w:t>Transport and packaging of specimens (internal customers)</w:t>
      </w:r>
      <w:bookmarkEnd w:id="21"/>
    </w:p>
    <w:p w:rsidR="00E56818" w:rsidRPr="00E56818" w:rsidRDefault="00E56818" w:rsidP="00E56818">
      <w:pPr>
        <w:tabs>
          <w:tab w:val="left" w:pos="-720"/>
        </w:tabs>
        <w:suppressAutoHyphens/>
        <w:spacing w:after="0"/>
        <w:ind w:left="720" w:hanging="720"/>
        <w:rPr>
          <w:rFonts w:ascii="Arial" w:hAnsi="Arial"/>
          <w:spacing w:val="-3"/>
          <w:sz w:val="20"/>
          <w:szCs w:val="20"/>
        </w:rPr>
      </w:pPr>
      <w:r w:rsidRPr="00E56818">
        <w:rPr>
          <w:rFonts w:ascii="Arial" w:hAnsi="Arial"/>
          <w:spacing w:val="-3"/>
          <w:sz w:val="20"/>
          <w:szCs w:val="20"/>
        </w:rPr>
        <w:t>ROUTINE SAMPLES:</w:t>
      </w:r>
    </w:p>
    <w:p w:rsidR="00E56818" w:rsidRP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All King’s specimens should be taken to central specimen reception at King’s College Hospital or sent via the Pneumatic Air Tube Transport System (PATTS).</w:t>
      </w:r>
    </w:p>
    <w:p w:rsidR="00E56818" w:rsidRP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 xml:space="preserve">However, any difficult to resample or unrepeatable specimen of any type </w:t>
      </w:r>
      <w:r w:rsidRPr="00E56818">
        <w:rPr>
          <w:rFonts w:ascii="Arial" w:hAnsi="Arial"/>
          <w:spacing w:val="-3"/>
          <w:sz w:val="20"/>
          <w:szCs w:val="20"/>
          <w:u w:val="single"/>
        </w:rPr>
        <w:t>must not be sent</w:t>
      </w:r>
      <w:r w:rsidRPr="00E56818">
        <w:rPr>
          <w:rFonts w:ascii="Arial" w:hAnsi="Arial"/>
          <w:spacing w:val="-3"/>
          <w:sz w:val="20"/>
          <w:szCs w:val="20"/>
        </w:rPr>
        <w:t xml:space="preserve"> via the air tube:</w:t>
      </w:r>
    </w:p>
    <w:p w:rsidR="00E56818" w:rsidRPr="00E56818" w:rsidRDefault="00E56818" w:rsidP="00E56818">
      <w:pPr>
        <w:pStyle w:val="BodyText3"/>
        <w:spacing w:after="0"/>
        <w:rPr>
          <w:rFonts w:ascii="Arial" w:hAnsi="Arial"/>
          <w:spacing w:val="-3"/>
          <w:sz w:val="20"/>
          <w:szCs w:val="20"/>
        </w:rPr>
      </w:pPr>
      <w:r w:rsidRPr="00E56818">
        <w:rPr>
          <w:rFonts w:ascii="Arial" w:hAnsi="Arial"/>
          <w:b/>
          <w:spacing w:val="-3"/>
          <w:sz w:val="20"/>
          <w:szCs w:val="20"/>
        </w:rPr>
        <w:t>URGENT SAMPLES</w:t>
      </w:r>
      <w:r w:rsidRPr="00E56818">
        <w:rPr>
          <w:rFonts w:ascii="Arial" w:hAnsi="Arial"/>
          <w:spacing w:val="-3"/>
          <w:sz w:val="20"/>
          <w:szCs w:val="20"/>
        </w:rPr>
        <w:t>:</w:t>
      </w:r>
    </w:p>
    <w:p w:rsidR="00E56818" w:rsidRPr="00E56818" w:rsidRDefault="00E56818" w:rsidP="00E56818">
      <w:pPr>
        <w:pStyle w:val="BodyText3"/>
        <w:spacing w:after="0"/>
        <w:rPr>
          <w:rFonts w:ascii="Arial" w:hAnsi="Arial"/>
          <w:i/>
          <w:spacing w:val="-3"/>
          <w:sz w:val="20"/>
          <w:szCs w:val="20"/>
        </w:rPr>
      </w:pPr>
      <w:r w:rsidRPr="00E56818">
        <w:rPr>
          <w:rFonts w:ascii="Arial" w:hAnsi="Arial"/>
          <w:spacing w:val="-3"/>
          <w:sz w:val="20"/>
          <w:szCs w:val="20"/>
        </w:rPr>
        <w:t xml:space="preserve">For all testing, send or bring the specimen </w:t>
      </w:r>
      <w:r w:rsidRPr="00E56818">
        <w:rPr>
          <w:rFonts w:ascii="Arial" w:hAnsi="Arial"/>
          <w:b/>
          <w:spacing w:val="-3"/>
          <w:sz w:val="20"/>
          <w:szCs w:val="20"/>
        </w:rPr>
        <w:t>DIRECTLY</w:t>
      </w:r>
      <w:r w:rsidRPr="00E56818">
        <w:rPr>
          <w:rFonts w:ascii="Arial" w:hAnsi="Arial"/>
          <w:spacing w:val="-3"/>
          <w:sz w:val="20"/>
          <w:szCs w:val="20"/>
        </w:rPr>
        <w:t xml:space="preserve"> to Central Specimen Reception on the ground floor of the Bessemer Wing. </w:t>
      </w:r>
      <w:r w:rsidRPr="00E56818">
        <w:rPr>
          <w:rFonts w:ascii="Arial" w:hAnsi="Arial"/>
          <w:i/>
          <w:spacing w:val="-3"/>
          <w:sz w:val="20"/>
          <w:szCs w:val="20"/>
        </w:rPr>
        <w:t>Please telephone 020 7848 5809 for specimens to be processed urgently.</w:t>
      </w:r>
    </w:p>
    <w:p w:rsidR="00E56818" w:rsidRPr="00E56818" w:rsidRDefault="00E56818" w:rsidP="00E56818">
      <w:pPr>
        <w:tabs>
          <w:tab w:val="left" w:pos="-720"/>
        </w:tabs>
        <w:suppressAutoHyphens/>
        <w:spacing w:after="0"/>
        <w:rPr>
          <w:rFonts w:ascii="Arial" w:hAnsi="Arial"/>
          <w:spacing w:val="-3"/>
          <w:sz w:val="16"/>
          <w:szCs w:val="16"/>
        </w:rPr>
      </w:pPr>
      <w:bookmarkStart w:id="22" w:name="_Toc75134151"/>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23" w:name="_Toc114849223"/>
      <w:r w:rsidRPr="00E56818">
        <w:t>High Risk Specimens and Safety</w:t>
      </w:r>
      <w:bookmarkEnd w:id="22"/>
      <w:bookmarkEnd w:id="23"/>
    </w:p>
    <w:p w:rsidR="00E56818" w:rsidRPr="00E56818" w:rsidRDefault="00E56818" w:rsidP="00E56818">
      <w:pPr>
        <w:tabs>
          <w:tab w:val="left" w:pos="-720"/>
        </w:tabs>
        <w:suppressAutoHyphens/>
        <w:spacing w:after="0"/>
        <w:rPr>
          <w:rFonts w:ascii="Arial" w:hAnsi="Arial"/>
          <w:sz w:val="20"/>
          <w:szCs w:val="20"/>
        </w:rPr>
      </w:pPr>
      <w:r w:rsidRPr="00E56818">
        <w:rPr>
          <w:rFonts w:ascii="Arial" w:hAnsi="Arial"/>
          <w:sz w:val="20"/>
          <w:szCs w:val="20"/>
        </w:rPr>
        <w:t>The LMH lab is currently not able to process the following sample types due to the risk from Covid-19: buccal lavage, saliva, sputum.</w:t>
      </w:r>
    </w:p>
    <w:p w:rsidR="00E56818" w:rsidRPr="00E56818" w:rsidRDefault="00E56818" w:rsidP="00E56818">
      <w:pPr>
        <w:tabs>
          <w:tab w:val="left" w:pos="-720"/>
        </w:tabs>
        <w:suppressAutoHyphens/>
        <w:spacing w:after="0"/>
        <w:rPr>
          <w:rFonts w:ascii="Arial" w:hAnsi="Arial"/>
          <w:sz w:val="20"/>
          <w:szCs w:val="20"/>
        </w:rPr>
      </w:pPr>
      <w:r w:rsidRPr="00E56818">
        <w:rPr>
          <w:rFonts w:ascii="Arial" w:hAnsi="Arial"/>
          <w:sz w:val="20"/>
          <w:szCs w:val="20"/>
        </w:rPr>
        <w:t xml:space="preserve">Samples from patients with suspected viral haemorrhagic fevers or with a history of having returned within 21 days from Africa, Asia and South America are considered high risk. Contact Virology medical staff before taking ANY sample. LMH is unable to accept samples of this nature as they do not have the facilities to deal with them. </w:t>
      </w:r>
    </w:p>
    <w:p w:rsidR="00E56818" w:rsidRP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Great care must be taken in obtaining specimens. Equipment such as needles and blades must be immediately disposed of safely in locally approved "sharps" bins and NOT SENT TO LABORATORIES. Specimens should be transported to the laboratory without delay.</w:t>
      </w:r>
    </w:p>
    <w:p w:rsidR="00B61456" w:rsidRDefault="00B61456">
      <w:pPr>
        <w:spacing w:after="0"/>
        <w:jc w:val="left"/>
        <w:rPr>
          <w:rFonts w:ascii="Arial" w:hAnsi="Arial"/>
          <w:b/>
        </w:rPr>
      </w:pPr>
      <w:r>
        <w:br w:type="page"/>
      </w: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24" w:name="_Toc114849224"/>
      <w:r w:rsidRPr="00E56818">
        <w:lastRenderedPageBreak/>
        <w:t>Result Availability</w:t>
      </w:r>
      <w:bookmarkEnd w:id="24"/>
    </w:p>
    <w:p w:rsidR="00E56818" w:rsidRPr="00E56818" w:rsidRDefault="00E56818" w:rsidP="00E56818">
      <w:pPr>
        <w:tabs>
          <w:tab w:val="left" w:pos="-720"/>
        </w:tabs>
        <w:suppressAutoHyphens/>
        <w:rPr>
          <w:rFonts w:ascii="Arial" w:hAnsi="Arial"/>
          <w:spacing w:val="-3"/>
          <w:sz w:val="20"/>
          <w:szCs w:val="20"/>
        </w:rPr>
      </w:pPr>
      <w:r w:rsidRPr="00E56818">
        <w:rPr>
          <w:rFonts w:ascii="Arial" w:hAnsi="Arial"/>
          <w:spacing w:val="-3"/>
          <w:sz w:val="20"/>
          <w:szCs w:val="20"/>
        </w:rPr>
        <w:t>Our target is to issue reports from date of sample receipt within the intervals listed in sections 4, 5 &amp; 6 below. Urgent samples may be tested more quickly by prior arrangement with the laboratory but turnaround times are limited by factors intrinsic to analytic procedures and prioritisation will always be according to clinical criteria. The requester will be notified by email or telephone if a significant delay in reporting is anticipated. Reports will be sent to the address indicated on the referral form and reports are also available on the Results Online reporting system.</w:t>
      </w:r>
    </w:p>
    <w:p w:rsidR="00E56818" w:rsidRPr="00E56818" w:rsidRDefault="00E56818" w:rsidP="00E56818">
      <w:pPr>
        <w:tabs>
          <w:tab w:val="left" w:pos="-720"/>
        </w:tabs>
        <w:suppressAutoHyphens/>
        <w:ind w:left="720" w:hanging="294"/>
        <w:rPr>
          <w:rFonts w:ascii="Arial" w:hAnsi="Arial"/>
          <w:spacing w:val="-3"/>
          <w:sz w:val="20"/>
          <w:szCs w:val="20"/>
        </w:rPr>
      </w:pPr>
      <w:r w:rsidRPr="00E56818">
        <w:rPr>
          <w:rFonts w:ascii="Arial" w:hAnsi="Arial"/>
          <w:spacing w:val="-3"/>
          <w:sz w:val="20"/>
          <w:szCs w:val="20"/>
        </w:rPr>
        <w:t>Exporting of reports:</w:t>
      </w:r>
    </w:p>
    <w:p w:rsidR="00E56818" w:rsidRPr="00E56818" w:rsidRDefault="00E56818" w:rsidP="00E56818">
      <w:pPr>
        <w:numPr>
          <w:ilvl w:val="0"/>
          <w:numId w:val="34"/>
        </w:numPr>
        <w:tabs>
          <w:tab w:val="left" w:pos="-720"/>
        </w:tabs>
        <w:suppressAutoHyphens/>
        <w:spacing w:after="0"/>
        <w:ind w:left="851" w:hanging="425"/>
        <w:rPr>
          <w:rFonts w:ascii="Arial" w:hAnsi="Arial"/>
          <w:spacing w:val="-3"/>
          <w:sz w:val="20"/>
          <w:szCs w:val="20"/>
        </w:rPr>
      </w:pPr>
      <w:r w:rsidRPr="00E56818">
        <w:rPr>
          <w:rFonts w:ascii="Arial" w:hAnsi="Arial"/>
          <w:spacing w:val="-3"/>
          <w:sz w:val="20"/>
          <w:szCs w:val="20"/>
        </w:rPr>
        <w:t xml:space="preserve">LMH laboratory reports are exported to the SE-HMDS integrated reporting system immediately after authorisation. </w:t>
      </w:r>
    </w:p>
    <w:p w:rsidR="00E56818" w:rsidRPr="00E56818" w:rsidRDefault="00E56818" w:rsidP="00E56818">
      <w:pPr>
        <w:numPr>
          <w:ilvl w:val="0"/>
          <w:numId w:val="34"/>
        </w:numPr>
        <w:tabs>
          <w:tab w:val="left" w:pos="-720"/>
        </w:tabs>
        <w:suppressAutoHyphens/>
        <w:spacing w:after="0"/>
        <w:ind w:left="851" w:hanging="425"/>
        <w:rPr>
          <w:rFonts w:ascii="Arial" w:hAnsi="Arial"/>
          <w:spacing w:val="-3"/>
          <w:sz w:val="20"/>
          <w:szCs w:val="20"/>
        </w:rPr>
      </w:pPr>
      <w:r w:rsidRPr="00E56818">
        <w:rPr>
          <w:rFonts w:ascii="Arial" w:hAnsi="Arial"/>
          <w:spacing w:val="-3"/>
          <w:sz w:val="20"/>
          <w:szCs w:val="20"/>
        </w:rPr>
        <w:t>Integrated SE-HMDS reports are dispatched only after the results of all investigations have been completed and authorised by an SE-HMDS consultant. Where a report is required urgently or if an outstanding investigation will significantly delay reporting, an interim report is released by the SE-HMDS clinical team.</w:t>
      </w:r>
    </w:p>
    <w:p w:rsidR="00E56818" w:rsidRPr="00E56818" w:rsidRDefault="00E56818" w:rsidP="00E56818">
      <w:pPr>
        <w:numPr>
          <w:ilvl w:val="0"/>
          <w:numId w:val="34"/>
        </w:numPr>
        <w:tabs>
          <w:tab w:val="left" w:pos="-720"/>
        </w:tabs>
        <w:suppressAutoHyphens/>
        <w:spacing w:after="0"/>
        <w:ind w:left="851" w:hanging="425"/>
        <w:rPr>
          <w:rFonts w:ascii="Arial" w:hAnsi="Arial"/>
          <w:spacing w:val="-3"/>
          <w:sz w:val="20"/>
          <w:szCs w:val="20"/>
        </w:rPr>
      </w:pPr>
      <w:r w:rsidRPr="00E56818">
        <w:rPr>
          <w:rFonts w:ascii="Arial" w:hAnsi="Arial"/>
          <w:spacing w:val="-3"/>
          <w:sz w:val="20"/>
          <w:szCs w:val="20"/>
        </w:rPr>
        <w:t xml:space="preserve">For investigations requested by EPR a copy of the SE-HMDS integrated report is associated with the EPR record. </w:t>
      </w:r>
    </w:p>
    <w:p w:rsidR="00E56818" w:rsidRPr="00E56818" w:rsidRDefault="00E56818" w:rsidP="00E56818">
      <w:pPr>
        <w:numPr>
          <w:ilvl w:val="0"/>
          <w:numId w:val="34"/>
        </w:numPr>
        <w:tabs>
          <w:tab w:val="left" w:pos="-720"/>
        </w:tabs>
        <w:suppressAutoHyphens/>
        <w:spacing w:after="0"/>
        <w:ind w:left="851" w:hanging="425"/>
        <w:rPr>
          <w:rFonts w:ascii="Arial" w:hAnsi="Arial"/>
          <w:spacing w:val="-3"/>
          <w:sz w:val="20"/>
          <w:szCs w:val="20"/>
        </w:rPr>
      </w:pPr>
      <w:r w:rsidRPr="00E56818">
        <w:rPr>
          <w:rFonts w:ascii="Arial" w:hAnsi="Arial"/>
          <w:spacing w:val="-3"/>
          <w:sz w:val="20"/>
          <w:szCs w:val="20"/>
        </w:rPr>
        <w:t>External referrals are reported by both printing and mailing to the address provided by the requester or by emailing to a generic mailbox where this has been provided. Results are also currently available through the Results Online service.</w:t>
      </w:r>
    </w:p>
    <w:p w:rsidR="00E56818" w:rsidRPr="00E56818" w:rsidRDefault="00E56818" w:rsidP="00E56818">
      <w:pPr>
        <w:numPr>
          <w:ilvl w:val="0"/>
          <w:numId w:val="34"/>
        </w:numPr>
        <w:tabs>
          <w:tab w:val="left" w:pos="-720"/>
        </w:tabs>
        <w:suppressAutoHyphens/>
        <w:spacing w:after="0"/>
        <w:ind w:left="851" w:hanging="425"/>
        <w:rPr>
          <w:rFonts w:ascii="Arial" w:hAnsi="Arial"/>
          <w:spacing w:val="-3"/>
          <w:sz w:val="20"/>
          <w:szCs w:val="20"/>
        </w:rPr>
      </w:pPr>
      <w:r w:rsidRPr="00E56818">
        <w:rPr>
          <w:rFonts w:ascii="Arial" w:hAnsi="Arial"/>
          <w:spacing w:val="-3"/>
          <w:sz w:val="20"/>
          <w:szCs w:val="20"/>
        </w:rPr>
        <w:t>Copies of printed reports can be obtained by telephoning extension 020 3299 5862.</w:t>
      </w: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25" w:name="_Specimen_retention_policy"/>
      <w:bookmarkStart w:id="26" w:name="_Toc114849225"/>
      <w:bookmarkEnd w:id="25"/>
      <w:r w:rsidRPr="00E56818">
        <w:t>Specimen Retention Policy</w:t>
      </w:r>
      <w:bookmarkEnd w:id="26"/>
    </w:p>
    <w:p w:rsidR="00E56818" w:rsidRPr="00E56818" w:rsidRDefault="00E56818" w:rsidP="00E56818">
      <w:pPr>
        <w:spacing w:after="0"/>
        <w:rPr>
          <w:rFonts w:ascii="Arial" w:hAnsi="Arial"/>
          <w:spacing w:val="-3"/>
          <w:sz w:val="20"/>
          <w:szCs w:val="20"/>
        </w:rPr>
      </w:pPr>
      <w:r w:rsidRPr="00E56818">
        <w:rPr>
          <w:rFonts w:ascii="Arial" w:hAnsi="Arial"/>
          <w:spacing w:val="-3"/>
          <w:sz w:val="20"/>
          <w:szCs w:val="20"/>
        </w:rPr>
        <w:t xml:space="preserve">Specimens are retained by the laboratory in order to repeat analysis or to enable additional analysis to be performed. The laboratory will attempt to retain / preserve samples in such a way to allow retesting and additional testing based on the clinical information provided. All samples are retained for a minimum of 5 years. Control material stored to facilitate the analysis of chimerism will be stored for a minimum of 10 years. </w:t>
      </w: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27" w:name="_Toc75134140"/>
      <w:bookmarkStart w:id="28" w:name="_Toc114849226"/>
      <w:r w:rsidRPr="00E56818">
        <w:t>Telephoned Results</w:t>
      </w:r>
      <w:bookmarkEnd w:id="27"/>
      <w:bookmarkEnd w:id="28"/>
    </w:p>
    <w:p w:rsidR="00E56818" w:rsidRP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Results are not routinely telephoned but SE-HMDS clinical staff may contact requesters / care providers where considered clinical relevant</w:t>
      </w: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29" w:name="_Toc75134143"/>
      <w:bookmarkStart w:id="30" w:name="_Toc114849227"/>
      <w:r w:rsidRPr="00E56818">
        <w:t>Visitors</w:t>
      </w:r>
      <w:bookmarkEnd w:id="29"/>
      <w:bookmarkEnd w:id="30"/>
    </w:p>
    <w:p w:rsidR="00E56818" w:rsidRP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Visitors should introduce themselves at the Rayne Reception Ground Floor Rayne Institute, Coldharbour Lane. Security staff will call the laboratory to obtain the person they wish to see, who will come to meet them. It is best to make appointments in advance to ensure the right person is available.</w:t>
      </w:r>
    </w:p>
    <w:p w:rsidR="00E56818" w:rsidRPr="00E56818" w:rsidRDefault="00E56818" w:rsidP="00E56818">
      <w:pPr>
        <w:tabs>
          <w:tab w:val="left" w:pos="-720"/>
        </w:tabs>
        <w:suppressAutoHyphens/>
        <w:spacing w:after="0"/>
        <w:rPr>
          <w:rFonts w:ascii="Arial" w:hAnsi="Arial"/>
          <w:spacing w:val="-3"/>
        </w:rPr>
      </w:pPr>
    </w:p>
    <w:p w:rsidR="00E56818" w:rsidRPr="00E56818" w:rsidRDefault="00E56818" w:rsidP="00E56818">
      <w:pPr>
        <w:pStyle w:val="Heading1"/>
        <w:keepLines w:val="0"/>
        <w:widowControl w:val="0"/>
        <w:numPr>
          <w:ilvl w:val="0"/>
          <w:numId w:val="33"/>
        </w:numPr>
        <w:shd w:val="clear" w:color="auto" w:fill="D9D9D9"/>
        <w:tabs>
          <w:tab w:val="left" w:pos="-720"/>
        </w:tabs>
        <w:suppressAutoHyphens/>
        <w:overflowPunct w:val="0"/>
        <w:autoSpaceDE w:val="0"/>
        <w:autoSpaceDN w:val="0"/>
        <w:adjustRightInd w:val="0"/>
        <w:spacing w:before="0" w:after="0"/>
        <w:jc w:val="both"/>
        <w:textAlignment w:val="baseline"/>
        <w:rPr>
          <w:bCs/>
        </w:rPr>
      </w:pPr>
      <w:bookmarkStart w:id="31" w:name="_Toc114849228"/>
      <w:r w:rsidRPr="00E56818">
        <w:rPr>
          <w:bCs/>
        </w:rPr>
        <w:t>Out of Hours’ Service</w:t>
      </w:r>
      <w:bookmarkEnd w:id="31"/>
      <w:r w:rsidRPr="00E56818">
        <w:rPr>
          <w:bCs/>
        </w:rPr>
        <w:t xml:space="preserve"> </w:t>
      </w:r>
    </w:p>
    <w:p w:rsidR="00E56818" w:rsidRPr="00E56818" w:rsidRDefault="00E56818" w:rsidP="00E56818">
      <w:pPr>
        <w:rPr>
          <w:rFonts w:ascii="Arial" w:hAnsi="Arial"/>
        </w:rPr>
      </w:pP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32" w:name="_Toc114849229"/>
      <w:r w:rsidRPr="00E56818">
        <w:t>Out of Hours’ Examinations Provided in LMH</w:t>
      </w:r>
      <w:bookmarkEnd w:id="32"/>
    </w:p>
    <w:p w:rsidR="00E56818" w:rsidRPr="00E56818" w:rsidRDefault="00E56818" w:rsidP="00E56818">
      <w:pPr>
        <w:tabs>
          <w:tab w:val="left" w:pos="-720"/>
        </w:tabs>
        <w:suppressAutoHyphens/>
        <w:spacing w:after="0"/>
        <w:rPr>
          <w:rFonts w:ascii="Arial" w:hAnsi="Arial"/>
          <w:spacing w:val="-3"/>
          <w:sz w:val="20"/>
          <w:szCs w:val="20"/>
        </w:rPr>
      </w:pPr>
      <w:r w:rsidRPr="00E56818">
        <w:rPr>
          <w:rFonts w:ascii="Arial" w:hAnsi="Arial"/>
          <w:spacing w:val="-3"/>
          <w:sz w:val="20"/>
          <w:szCs w:val="20"/>
        </w:rPr>
        <w:t>No on-call service is currently provided by LMH. Laboratory opening times are 09:00 to 17:30 Monday to Friday.</w:t>
      </w: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33" w:name="_Toc75134137"/>
      <w:bookmarkStart w:id="34" w:name="_Toc114849230"/>
      <w:r w:rsidRPr="00E56818">
        <w:t>Medical Advice</w:t>
      </w:r>
      <w:bookmarkEnd w:id="33"/>
      <w:bookmarkEnd w:id="34"/>
    </w:p>
    <w:p w:rsidR="00E56818" w:rsidRPr="00E56818" w:rsidRDefault="00E56818" w:rsidP="00E56818">
      <w:pPr>
        <w:rPr>
          <w:rFonts w:ascii="Arial" w:hAnsi="Arial"/>
          <w:sz w:val="20"/>
          <w:szCs w:val="20"/>
        </w:rPr>
      </w:pPr>
      <w:r w:rsidRPr="00E56818">
        <w:rPr>
          <w:rFonts w:ascii="Arial" w:hAnsi="Arial"/>
          <w:sz w:val="20"/>
          <w:szCs w:val="20"/>
        </w:rPr>
        <w:t xml:space="preserve">During weekdays from 9 am to 5:30 pm medical advice on interpretation of LMH results, or advice about clinical management, or any other relevant clinical circumstance can be sought from the SE-HMDS consultants see section 1.3.  </w:t>
      </w:r>
    </w:p>
    <w:p w:rsidR="00E56818" w:rsidRPr="00E56818" w:rsidRDefault="00E56818" w:rsidP="00E56818">
      <w:pPr>
        <w:rPr>
          <w:rFonts w:ascii="Arial" w:hAnsi="Arial"/>
          <w:b/>
          <w:bCs/>
          <w:spacing w:val="-3"/>
          <w:sz w:val="24"/>
        </w:rPr>
      </w:pPr>
      <w:r w:rsidRPr="00E56818">
        <w:rPr>
          <w:rFonts w:ascii="Arial" w:hAnsi="Arial"/>
          <w:sz w:val="20"/>
          <w:szCs w:val="20"/>
        </w:rPr>
        <w:t>For out of hours advice (urgent clinical situations only), contact the haematology Specialist Registrar bleep holder via the KCH switchboard on 020 3299 9000</w:t>
      </w:r>
    </w:p>
    <w:p w:rsidR="00E56818" w:rsidRPr="00406724" w:rsidRDefault="00E56818" w:rsidP="00E56818">
      <w:pPr>
        <w:rPr>
          <w:rFonts w:ascii="Arial" w:hAnsi="Arial"/>
          <w:spacing w:val="-3"/>
        </w:rPr>
      </w:pPr>
      <w:r w:rsidRPr="00E56818">
        <w:rPr>
          <w:rFonts w:ascii="Arial" w:hAnsi="Arial"/>
          <w:spacing w:val="-3"/>
        </w:rPr>
        <w:br w:type="page"/>
      </w:r>
    </w:p>
    <w:p w:rsidR="00E56818" w:rsidRPr="00406724" w:rsidRDefault="00E56818" w:rsidP="00E56818">
      <w:pPr>
        <w:pStyle w:val="Heading1"/>
        <w:keepLines w:val="0"/>
        <w:widowControl w:val="0"/>
        <w:numPr>
          <w:ilvl w:val="0"/>
          <w:numId w:val="33"/>
        </w:numPr>
        <w:shd w:val="clear" w:color="auto" w:fill="D9D9D9"/>
        <w:tabs>
          <w:tab w:val="left" w:pos="-720"/>
        </w:tabs>
        <w:suppressAutoHyphens/>
        <w:overflowPunct w:val="0"/>
        <w:autoSpaceDE w:val="0"/>
        <w:autoSpaceDN w:val="0"/>
        <w:adjustRightInd w:val="0"/>
        <w:spacing w:before="0" w:after="0"/>
        <w:jc w:val="both"/>
        <w:textAlignment w:val="baseline"/>
        <w:rPr>
          <w:bCs/>
        </w:rPr>
      </w:pPr>
      <w:bookmarkStart w:id="35" w:name="_Toc114849231"/>
      <w:r w:rsidRPr="00406724">
        <w:rPr>
          <w:bCs/>
        </w:rPr>
        <w:lastRenderedPageBreak/>
        <w:t xml:space="preserve">List of </w:t>
      </w:r>
      <w:r>
        <w:rPr>
          <w:bCs/>
        </w:rPr>
        <w:t>T</w:t>
      </w:r>
      <w:r w:rsidRPr="00406724">
        <w:rPr>
          <w:bCs/>
        </w:rPr>
        <w:t>est</w:t>
      </w:r>
      <w:r>
        <w:rPr>
          <w:bCs/>
        </w:rPr>
        <w:t>s P</w:t>
      </w:r>
      <w:r w:rsidRPr="00406724">
        <w:rPr>
          <w:bCs/>
        </w:rPr>
        <w:t>erformed in LMH</w:t>
      </w:r>
      <w:bookmarkEnd w:id="35"/>
      <w:r w:rsidRPr="00406724">
        <w:rPr>
          <w:bCs/>
        </w:rPr>
        <w:t xml:space="preserve"> </w:t>
      </w:r>
    </w:p>
    <w:p w:rsidR="00E56818" w:rsidRPr="00406724" w:rsidRDefault="00E56818" w:rsidP="00E56818">
      <w:pPr>
        <w:ind w:left="720"/>
        <w:rPr>
          <w:rFonts w:ascii="Arial" w:hAnsi="Arial"/>
          <w:b/>
          <w:bCs/>
          <w:sz w:val="24"/>
        </w:rPr>
      </w:pPr>
    </w:p>
    <w:tbl>
      <w:tblPr>
        <w:tblW w:w="9900" w:type="dxa"/>
        <w:jc w:val="center"/>
        <w:tblBorders>
          <w:top w:val="single" w:sz="12" w:space="0" w:color="008000"/>
          <w:left w:val="single" w:sz="6" w:space="0" w:color="008000"/>
          <w:bottom w:val="single" w:sz="12" w:space="0" w:color="008000"/>
          <w:right w:val="single" w:sz="6" w:space="0" w:color="008000"/>
          <w:insideH w:val="single" w:sz="6" w:space="0" w:color="000000"/>
        </w:tblBorders>
        <w:tblLayout w:type="fixed"/>
        <w:tblLook w:val="0000" w:firstRow="0" w:lastRow="0" w:firstColumn="0" w:lastColumn="0" w:noHBand="0" w:noVBand="0"/>
      </w:tblPr>
      <w:tblGrid>
        <w:gridCol w:w="3820"/>
        <w:gridCol w:w="1835"/>
        <w:gridCol w:w="1985"/>
        <w:gridCol w:w="2260"/>
      </w:tblGrid>
      <w:tr w:rsidR="00E56818" w:rsidRPr="00406724" w:rsidTr="00A967C0">
        <w:trPr>
          <w:trHeight w:val="255"/>
          <w:jc w:val="center"/>
        </w:trPr>
        <w:tc>
          <w:tcPr>
            <w:tcW w:w="9900" w:type="dxa"/>
            <w:gridSpan w:val="4"/>
            <w:shd w:val="pct20" w:color="000000" w:fill="FFFFFF"/>
          </w:tcPr>
          <w:p w:rsidR="00E56818" w:rsidRPr="005A07E2" w:rsidRDefault="00E56818" w:rsidP="00A967C0">
            <w:pPr>
              <w:rPr>
                <w:rFonts w:ascii="Arial" w:hAnsi="Arial"/>
                <w:b/>
                <w:sz w:val="24"/>
              </w:rPr>
            </w:pPr>
          </w:p>
          <w:p w:rsidR="00E56818" w:rsidRPr="005A07E2" w:rsidRDefault="00E56818" w:rsidP="00A967C0">
            <w:pPr>
              <w:rPr>
                <w:rFonts w:ascii="Arial" w:hAnsi="Arial"/>
                <w:b/>
                <w:sz w:val="24"/>
              </w:rPr>
            </w:pPr>
            <w:r w:rsidRPr="005A07E2">
              <w:rPr>
                <w:rFonts w:ascii="Arial" w:hAnsi="Arial"/>
                <w:b/>
                <w:sz w:val="24"/>
              </w:rPr>
              <w:t xml:space="preserve">Molecular Investigations </w:t>
            </w:r>
          </w:p>
        </w:tc>
      </w:tr>
      <w:tr w:rsidR="00E56818" w:rsidRPr="00406724" w:rsidTr="00A967C0">
        <w:trPr>
          <w:trHeight w:val="255"/>
          <w:jc w:val="center"/>
        </w:trPr>
        <w:tc>
          <w:tcPr>
            <w:tcW w:w="3820" w:type="dxa"/>
            <w:shd w:val="pct25" w:color="FFFF00" w:fill="FFFFFF"/>
          </w:tcPr>
          <w:p w:rsidR="00E56818" w:rsidRPr="005A07E2" w:rsidRDefault="00E56818" w:rsidP="00A967C0">
            <w:pPr>
              <w:jc w:val="left"/>
              <w:rPr>
                <w:rFonts w:ascii="Arial" w:hAnsi="Arial"/>
                <w:b/>
              </w:rPr>
            </w:pPr>
            <w:r w:rsidRPr="005A07E2">
              <w:rPr>
                <w:rFonts w:ascii="Arial" w:hAnsi="Arial"/>
                <w:b/>
              </w:rPr>
              <w:t>Test</w:t>
            </w:r>
          </w:p>
        </w:tc>
        <w:tc>
          <w:tcPr>
            <w:tcW w:w="1835" w:type="dxa"/>
            <w:shd w:val="pct25" w:color="FFFF00" w:fill="FFFFFF"/>
          </w:tcPr>
          <w:p w:rsidR="00E56818" w:rsidRPr="005A07E2" w:rsidRDefault="00E56818" w:rsidP="00A967C0">
            <w:pPr>
              <w:jc w:val="center"/>
              <w:rPr>
                <w:rFonts w:ascii="Arial" w:hAnsi="Arial"/>
                <w:b/>
              </w:rPr>
            </w:pPr>
            <w:r w:rsidRPr="005A07E2">
              <w:rPr>
                <w:rFonts w:ascii="Arial" w:hAnsi="Arial"/>
                <w:b/>
              </w:rPr>
              <w:t>Specimen type</w:t>
            </w:r>
          </w:p>
        </w:tc>
        <w:tc>
          <w:tcPr>
            <w:tcW w:w="1985" w:type="dxa"/>
            <w:shd w:val="pct25" w:color="FFFF00" w:fill="FFFFFF"/>
          </w:tcPr>
          <w:p w:rsidR="00E56818" w:rsidRPr="005A07E2" w:rsidRDefault="00E56818" w:rsidP="00A967C0">
            <w:pPr>
              <w:jc w:val="center"/>
              <w:rPr>
                <w:rFonts w:ascii="Arial" w:hAnsi="Arial"/>
                <w:b/>
              </w:rPr>
            </w:pPr>
            <w:r w:rsidRPr="005A07E2">
              <w:rPr>
                <w:rFonts w:ascii="Arial" w:hAnsi="Arial"/>
                <w:b/>
              </w:rPr>
              <w:t>Schedule</w:t>
            </w:r>
          </w:p>
        </w:tc>
        <w:tc>
          <w:tcPr>
            <w:tcW w:w="2260" w:type="dxa"/>
            <w:shd w:val="pct25" w:color="FFFF00" w:fill="FFFFFF"/>
          </w:tcPr>
          <w:p w:rsidR="00E56818" w:rsidRPr="005A07E2" w:rsidRDefault="00E56818" w:rsidP="00A967C0">
            <w:pPr>
              <w:jc w:val="center"/>
              <w:rPr>
                <w:rFonts w:ascii="Arial" w:hAnsi="Arial"/>
                <w:b/>
              </w:rPr>
            </w:pPr>
            <w:r w:rsidRPr="005A07E2">
              <w:rPr>
                <w:rFonts w:ascii="Arial" w:hAnsi="Arial"/>
                <w:b/>
              </w:rPr>
              <w:t>Turnaround Time**</w:t>
            </w:r>
          </w:p>
        </w:tc>
      </w:tr>
      <w:tr w:rsidR="00E56818" w:rsidRPr="00406724" w:rsidTr="00A967C0">
        <w:trPr>
          <w:trHeight w:val="460"/>
          <w:jc w:val="center"/>
        </w:trPr>
        <w:tc>
          <w:tcPr>
            <w:tcW w:w="3820" w:type="dxa"/>
            <w:shd w:val="pct20" w:color="000000" w:fill="FFFFFF"/>
          </w:tcPr>
          <w:p w:rsidR="00E56818" w:rsidRPr="005A07E2" w:rsidRDefault="00E56818" w:rsidP="00A967C0">
            <w:pPr>
              <w:jc w:val="left"/>
              <w:rPr>
                <w:rFonts w:ascii="Arial" w:hAnsi="Arial"/>
              </w:rPr>
            </w:pPr>
            <w:r w:rsidRPr="005A07E2">
              <w:rPr>
                <w:rFonts w:ascii="Arial" w:hAnsi="Arial"/>
              </w:rPr>
              <w:t>BCR</w:t>
            </w:r>
            <w:r>
              <w:rPr>
                <w:rFonts w:ascii="Arial" w:hAnsi="Arial"/>
              </w:rPr>
              <w:t>::</w:t>
            </w:r>
            <w:r w:rsidRPr="005A07E2">
              <w:rPr>
                <w:rFonts w:ascii="Arial" w:hAnsi="Arial"/>
              </w:rPr>
              <w:t>ABL1 major (P210) quantitation*</w:t>
            </w:r>
          </w:p>
        </w:tc>
        <w:tc>
          <w:tcPr>
            <w:tcW w:w="1835" w:type="dxa"/>
            <w:shd w:val="pct20" w:color="000000" w:fill="FFFFFF"/>
          </w:tcPr>
          <w:p w:rsidR="00E56818" w:rsidRPr="005A07E2" w:rsidRDefault="00E56818" w:rsidP="00A967C0">
            <w:pPr>
              <w:jc w:val="center"/>
              <w:rPr>
                <w:rFonts w:ascii="Arial" w:hAnsi="Arial"/>
              </w:rPr>
            </w:pPr>
            <w:r w:rsidRPr="005A07E2">
              <w:rPr>
                <w:rFonts w:ascii="Arial" w:hAnsi="Arial"/>
              </w:rPr>
              <w:t>EDTA PB or BM</w:t>
            </w:r>
          </w:p>
        </w:tc>
        <w:tc>
          <w:tcPr>
            <w:tcW w:w="1985" w:type="dxa"/>
            <w:shd w:val="pct20" w:color="000000" w:fill="FFFFFF"/>
          </w:tcPr>
          <w:p w:rsidR="00E56818" w:rsidRPr="005A07E2" w:rsidRDefault="00E56818" w:rsidP="00A967C0">
            <w:pPr>
              <w:jc w:val="center"/>
              <w:rPr>
                <w:rFonts w:ascii="Arial" w:hAnsi="Arial"/>
              </w:rPr>
            </w:pPr>
            <w:r>
              <w:rPr>
                <w:rFonts w:ascii="Arial" w:hAnsi="Arial"/>
              </w:rPr>
              <w:t>3 times per week</w:t>
            </w:r>
          </w:p>
        </w:tc>
        <w:tc>
          <w:tcPr>
            <w:tcW w:w="2260" w:type="dxa"/>
            <w:shd w:val="pct20" w:color="000000" w:fill="FFFFFF"/>
          </w:tcPr>
          <w:p w:rsidR="00E56818" w:rsidRPr="005A07E2" w:rsidRDefault="00E56818" w:rsidP="00A967C0">
            <w:pPr>
              <w:jc w:val="center"/>
              <w:rPr>
                <w:rFonts w:ascii="Arial" w:hAnsi="Arial"/>
              </w:rPr>
            </w:pPr>
            <w:r>
              <w:rPr>
                <w:rFonts w:ascii="Arial" w:hAnsi="Arial"/>
              </w:rPr>
              <w:t xml:space="preserve">14 </w:t>
            </w:r>
            <w:r w:rsidRPr="005A07E2">
              <w:rPr>
                <w:rFonts w:ascii="Arial" w:hAnsi="Arial"/>
              </w:rPr>
              <w:t>days</w:t>
            </w:r>
          </w:p>
        </w:tc>
      </w:tr>
      <w:tr w:rsidR="00E56818" w:rsidRPr="00406724" w:rsidTr="00A967C0">
        <w:trPr>
          <w:trHeight w:val="460"/>
          <w:jc w:val="center"/>
        </w:trPr>
        <w:tc>
          <w:tcPr>
            <w:tcW w:w="3820" w:type="dxa"/>
            <w:shd w:val="pct25" w:color="FFFF00" w:fill="FFFFFF"/>
          </w:tcPr>
          <w:p w:rsidR="00E56818" w:rsidRPr="005A07E2" w:rsidRDefault="00E56818" w:rsidP="00A967C0">
            <w:pPr>
              <w:jc w:val="left"/>
              <w:rPr>
                <w:rFonts w:ascii="Arial" w:hAnsi="Arial"/>
              </w:rPr>
            </w:pPr>
            <w:r w:rsidRPr="005A07E2">
              <w:rPr>
                <w:rFonts w:ascii="Arial" w:hAnsi="Arial"/>
              </w:rPr>
              <w:t>BCR</w:t>
            </w:r>
            <w:r>
              <w:rPr>
                <w:rFonts w:ascii="Arial" w:hAnsi="Arial"/>
              </w:rPr>
              <w:t>::</w:t>
            </w:r>
            <w:r w:rsidRPr="005A07E2">
              <w:rPr>
                <w:rFonts w:ascii="Arial" w:hAnsi="Arial"/>
              </w:rPr>
              <w:t>ABL1 minor (P190) quantitation*</w:t>
            </w:r>
          </w:p>
        </w:tc>
        <w:tc>
          <w:tcPr>
            <w:tcW w:w="1835" w:type="dxa"/>
            <w:shd w:val="pct25" w:color="FFFF00" w:fill="FFFFFF"/>
          </w:tcPr>
          <w:p w:rsidR="00E56818" w:rsidRPr="005A07E2" w:rsidRDefault="00E56818" w:rsidP="00A967C0">
            <w:pPr>
              <w:jc w:val="center"/>
              <w:rPr>
                <w:rFonts w:ascii="Arial" w:hAnsi="Arial"/>
              </w:rPr>
            </w:pPr>
            <w:r w:rsidRPr="005A07E2">
              <w:rPr>
                <w:rFonts w:ascii="Arial" w:hAnsi="Arial"/>
              </w:rPr>
              <w:t>EDTA PB or BM</w:t>
            </w:r>
          </w:p>
        </w:tc>
        <w:tc>
          <w:tcPr>
            <w:tcW w:w="1985" w:type="dxa"/>
            <w:shd w:val="pct25" w:color="FFFF00" w:fill="FFFFFF"/>
          </w:tcPr>
          <w:p w:rsidR="00E56818" w:rsidRPr="005A07E2" w:rsidRDefault="00E56818" w:rsidP="00A967C0">
            <w:pPr>
              <w:jc w:val="center"/>
              <w:rPr>
                <w:rFonts w:ascii="Arial" w:hAnsi="Arial"/>
              </w:rPr>
            </w:pPr>
            <w:r w:rsidRPr="005A07E2">
              <w:rPr>
                <w:rFonts w:ascii="Arial" w:hAnsi="Arial"/>
              </w:rPr>
              <w:t>On demand</w:t>
            </w:r>
          </w:p>
        </w:tc>
        <w:tc>
          <w:tcPr>
            <w:tcW w:w="2260" w:type="dxa"/>
            <w:shd w:val="pct25" w:color="FFFF00" w:fill="FFFFFF"/>
          </w:tcPr>
          <w:p w:rsidR="00E56818" w:rsidRPr="005A07E2" w:rsidRDefault="00E56818" w:rsidP="00A967C0">
            <w:pPr>
              <w:jc w:val="center"/>
              <w:rPr>
                <w:rFonts w:ascii="Arial" w:hAnsi="Arial"/>
              </w:rPr>
            </w:pPr>
            <w:r>
              <w:rPr>
                <w:rFonts w:ascii="Arial" w:hAnsi="Arial"/>
              </w:rPr>
              <w:t>14</w:t>
            </w:r>
            <w:r w:rsidRPr="005A07E2">
              <w:rPr>
                <w:rFonts w:ascii="Arial" w:hAnsi="Arial"/>
              </w:rPr>
              <w:t xml:space="preserve"> days</w:t>
            </w:r>
          </w:p>
        </w:tc>
      </w:tr>
      <w:tr w:rsidR="00E56818" w:rsidRPr="00406724" w:rsidTr="00A967C0">
        <w:trPr>
          <w:trHeight w:val="460"/>
          <w:jc w:val="center"/>
        </w:trPr>
        <w:tc>
          <w:tcPr>
            <w:tcW w:w="3820" w:type="dxa"/>
            <w:shd w:val="pct20" w:color="000000" w:fill="FFFFFF"/>
          </w:tcPr>
          <w:p w:rsidR="00E56818" w:rsidRPr="005A07E2" w:rsidRDefault="00E56818" w:rsidP="00A967C0">
            <w:pPr>
              <w:jc w:val="left"/>
              <w:rPr>
                <w:rFonts w:ascii="Arial" w:hAnsi="Arial"/>
              </w:rPr>
            </w:pPr>
            <w:r w:rsidRPr="005A07E2">
              <w:rPr>
                <w:rFonts w:ascii="Arial" w:hAnsi="Arial"/>
              </w:rPr>
              <w:t>BCR</w:t>
            </w:r>
            <w:r>
              <w:rPr>
                <w:rFonts w:ascii="Arial" w:hAnsi="Arial"/>
              </w:rPr>
              <w:t>::</w:t>
            </w:r>
            <w:r w:rsidRPr="005A07E2">
              <w:rPr>
                <w:rFonts w:ascii="Arial" w:hAnsi="Arial"/>
              </w:rPr>
              <w:t>ABL1 Multiplex</w:t>
            </w:r>
            <w:r>
              <w:rPr>
                <w:rFonts w:ascii="Arial" w:hAnsi="Arial"/>
              </w:rPr>
              <w:t xml:space="preserve"> screening</w:t>
            </w:r>
            <w:r w:rsidRPr="005A07E2">
              <w:rPr>
                <w:rFonts w:ascii="Arial" w:hAnsi="Arial"/>
              </w:rPr>
              <w:t>*</w:t>
            </w:r>
          </w:p>
        </w:tc>
        <w:tc>
          <w:tcPr>
            <w:tcW w:w="1835" w:type="dxa"/>
            <w:shd w:val="pct20" w:color="000000" w:fill="FFFFFF"/>
          </w:tcPr>
          <w:p w:rsidR="00E56818" w:rsidRPr="005A07E2" w:rsidRDefault="00E56818" w:rsidP="00A967C0">
            <w:pPr>
              <w:jc w:val="center"/>
              <w:rPr>
                <w:rFonts w:ascii="Arial" w:hAnsi="Arial"/>
              </w:rPr>
            </w:pPr>
            <w:r w:rsidRPr="005A07E2">
              <w:rPr>
                <w:rFonts w:ascii="Arial" w:hAnsi="Arial"/>
              </w:rPr>
              <w:t>EDTA PB or BM</w:t>
            </w:r>
          </w:p>
        </w:tc>
        <w:tc>
          <w:tcPr>
            <w:tcW w:w="1985" w:type="dxa"/>
            <w:shd w:val="pct20" w:color="000000" w:fill="FFFFFF"/>
          </w:tcPr>
          <w:p w:rsidR="00E56818" w:rsidRPr="005A07E2" w:rsidRDefault="00E56818" w:rsidP="00A967C0">
            <w:pPr>
              <w:jc w:val="center"/>
              <w:rPr>
                <w:rFonts w:ascii="Arial" w:hAnsi="Arial"/>
              </w:rPr>
            </w:pPr>
            <w:r>
              <w:rPr>
                <w:rFonts w:ascii="Arial" w:hAnsi="Arial"/>
              </w:rPr>
              <w:t>2 times per week</w:t>
            </w:r>
          </w:p>
        </w:tc>
        <w:tc>
          <w:tcPr>
            <w:tcW w:w="2260" w:type="dxa"/>
            <w:shd w:val="pct20" w:color="000000" w:fill="FFFFFF"/>
          </w:tcPr>
          <w:p w:rsidR="00E56818" w:rsidRPr="005A07E2" w:rsidRDefault="00E56818" w:rsidP="00A967C0">
            <w:pPr>
              <w:jc w:val="center"/>
              <w:rPr>
                <w:rFonts w:ascii="Arial" w:hAnsi="Arial"/>
              </w:rPr>
            </w:pPr>
            <w:r>
              <w:rPr>
                <w:rFonts w:ascii="Arial" w:hAnsi="Arial"/>
              </w:rPr>
              <w:t>14</w:t>
            </w:r>
            <w:r w:rsidRPr="005A07E2">
              <w:rPr>
                <w:rFonts w:ascii="Arial" w:hAnsi="Arial"/>
              </w:rPr>
              <w:t xml:space="preserve"> days</w:t>
            </w:r>
          </w:p>
        </w:tc>
      </w:tr>
      <w:tr w:rsidR="00E56818" w:rsidRPr="00406724" w:rsidTr="00A967C0">
        <w:trPr>
          <w:trHeight w:val="460"/>
          <w:jc w:val="center"/>
        </w:trPr>
        <w:tc>
          <w:tcPr>
            <w:tcW w:w="3820" w:type="dxa"/>
            <w:shd w:val="pct25" w:color="FFFF00" w:fill="FFFFFF"/>
          </w:tcPr>
          <w:p w:rsidR="00E56818" w:rsidRPr="005A07E2" w:rsidRDefault="00E56818" w:rsidP="00A967C0">
            <w:pPr>
              <w:jc w:val="left"/>
              <w:rPr>
                <w:rFonts w:ascii="Arial" w:hAnsi="Arial"/>
              </w:rPr>
            </w:pPr>
            <w:r w:rsidRPr="005A07E2">
              <w:rPr>
                <w:rFonts w:ascii="Arial" w:hAnsi="Arial"/>
              </w:rPr>
              <w:t>PML</w:t>
            </w:r>
            <w:r>
              <w:rPr>
                <w:rFonts w:ascii="Arial" w:hAnsi="Arial"/>
              </w:rPr>
              <w:t>::</w:t>
            </w:r>
            <w:r w:rsidRPr="005A07E2">
              <w:rPr>
                <w:rFonts w:ascii="Arial" w:hAnsi="Arial"/>
              </w:rPr>
              <w:t>RARA translocation quantitation*</w:t>
            </w:r>
          </w:p>
        </w:tc>
        <w:tc>
          <w:tcPr>
            <w:tcW w:w="1835" w:type="dxa"/>
            <w:shd w:val="pct25" w:color="FFFF00" w:fill="FFFFFF"/>
          </w:tcPr>
          <w:p w:rsidR="00E56818" w:rsidRPr="005A07E2" w:rsidRDefault="00E56818" w:rsidP="00A967C0">
            <w:pPr>
              <w:jc w:val="center"/>
              <w:rPr>
                <w:rFonts w:ascii="Arial" w:hAnsi="Arial"/>
              </w:rPr>
            </w:pPr>
            <w:r w:rsidRPr="005A07E2">
              <w:rPr>
                <w:rFonts w:ascii="Arial" w:hAnsi="Arial"/>
              </w:rPr>
              <w:t>EDTA PB or BM</w:t>
            </w:r>
          </w:p>
        </w:tc>
        <w:tc>
          <w:tcPr>
            <w:tcW w:w="1985" w:type="dxa"/>
            <w:shd w:val="pct25" w:color="FFFF00" w:fill="FFFFFF"/>
          </w:tcPr>
          <w:p w:rsidR="00E56818" w:rsidRPr="005A07E2" w:rsidRDefault="00E56818" w:rsidP="00A967C0">
            <w:pPr>
              <w:jc w:val="center"/>
              <w:rPr>
                <w:rFonts w:ascii="Arial" w:hAnsi="Arial"/>
              </w:rPr>
            </w:pPr>
            <w:r w:rsidRPr="005A07E2">
              <w:rPr>
                <w:rFonts w:ascii="Arial" w:hAnsi="Arial"/>
              </w:rPr>
              <w:t>On demand</w:t>
            </w:r>
          </w:p>
        </w:tc>
        <w:tc>
          <w:tcPr>
            <w:tcW w:w="2260" w:type="dxa"/>
            <w:shd w:val="pct25" w:color="FFFF00" w:fill="FFFFFF"/>
          </w:tcPr>
          <w:p w:rsidR="00E56818" w:rsidRPr="005A07E2" w:rsidRDefault="00E56818" w:rsidP="00A967C0">
            <w:pPr>
              <w:jc w:val="center"/>
              <w:rPr>
                <w:rFonts w:ascii="Arial" w:hAnsi="Arial"/>
              </w:rPr>
            </w:pPr>
            <w:r>
              <w:rPr>
                <w:rFonts w:ascii="Arial" w:hAnsi="Arial"/>
              </w:rPr>
              <w:t>14</w:t>
            </w:r>
            <w:r w:rsidRPr="005A07E2">
              <w:rPr>
                <w:rFonts w:ascii="Arial" w:hAnsi="Arial"/>
              </w:rPr>
              <w:t xml:space="preserve"> days</w:t>
            </w:r>
          </w:p>
        </w:tc>
      </w:tr>
      <w:tr w:rsidR="00E56818" w:rsidRPr="00406724" w:rsidTr="00A967C0">
        <w:trPr>
          <w:trHeight w:val="460"/>
          <w:jc w:val="center"/>
        </w:trPr>
        <w:tc>
          <w:tcPr>
            <w:tcW w:w="3820" w:type="dxa"/>
            <w:shd w:val="pct20" w:color="000000" w:fill="FFFFFF"/>
          </w:tcPr>
          <w:p w:rsidR="00E56818" w:rsidRPr="005A07E2" w:rsidRDefault="00E56818" w:rsidP="00A967C0">
            <w:pPr>
              <w:jc w:val="left"/>
              <w:rPr>
                <w:rFonts w:ascii="Arial" w:hAnsi="Arial"/>
              </w:rPr>
            </w:pPr>
            <w:r w:rsidRPr="005A07E2">
              <w:rPr>
                <w:rFonts w:ascii="Arial" w:hAnsi="Arial"/>
              </w:rPr>
              <w:t>RUNX</w:t>
            </w:r>
            <w:r>
              <w:rPr>
                <w:rFonts w:ascii="Arial" w:hAnsi="Arial"/>
              </w:rPr>
              <w:t>::</w:t>
            </w:r>
            <w:r w:rsidRPr="005A07E2">
              <w:rPr>
                <w:rFonts w:ascii="Arial" w:hAnsi="Arial"/>
              </w:rPr>
              <w:t>RUNXT1 translocation quantitation*</w:t>
            </w:r>
          </w:p>
        </w:tc>
        <w:tc>
          <w:tcPr>
            <w:tcW w:w="1835" w:type="dxa"/>
            <w:shd w:val="pct20" w:color="000000" w:fill="FFFFFF"/>
          </w:tcPr>
          <w:p w:rsidR="00E56818" w:rsidRPr="005A07E2" w:rsidRDefault="00E56818" w:rsidP="00A967C0">
            <w:pPr>
              <w:jc w:val="center"/>
              <w:rPr>
                <w:rFonts w:ascii="Arial" w:hAnsi="Arial"/>
              </w:rPr>
            </w:pPr>
            <w:r w:rsidRPr="005A07E2">
              <w:rPr>
                <w:rFonts w:ascii="Arial" w:hAnsi="Arial"/>
              </w:rPr>
              <w:t>EDTA PB or BM</w:t>
            </w:r>
          </w:p>
        </w:tc>
        <w:tc>
          <w:tcPr>
            <w:tcW w:w="1985" w:type="dxa"/>
            <w:shd w:val="pct20" w:color="000000" w:fill="FFFFFF"/>
          </w:tcPr>
          <w:p w:rsidR="00E56818" w:rsidRPr="005A07E2" w:rsidRDefault="00E56818" w:rsidP="00A967C0">
            <w:pPr>
              <w:jc w:val="center"/>
              <w:rPr>
                <w:rFonts w:ascii="Arial" w:hAnsi="Arial"/>
              </w:rPr>
            </w:pPr>
            <w:r w:rsidRPr="005A07E2">
              <w:rPr>
                <w:rFonts w:ascii="Arial" w:hAnsi="Arial"/>
              </w:rPr>
              <w:t>On demand</w:t>
            </w:r>
          </w:p>
        </w:tc>
        <w:tc>
          <w:tcPr>
            <w:tcW w:w="2260" w:type="dxa"/>
            <w:shd w:val="pct20" w:color="000000" w:fill="FFFFFF"/>
          </w:tcPr>
          <w:p w:rsidR="00E56818" w:rsidRPr="005A07E2" w:rsidRDefault="00E56818" w:rsidP="00A967C0">
            <w:pPr>
              <w:jc w:val="center"/>
              <w:rPr>
                <w:rFonts w:ascii="Arial" w:hAnsi="Arial"/>
              </w:rPr>
            </w:pPr>
            <w:r>
              <w:rPr>
                <w:rFonts w:ascii="Arial" w:hAnsi="Arial"/>
              </w:rPr>
              <w:t>14</w:t>
            </w:r>
            <w:r w:rsidRPr="005A07E2">
              <w:rPr>
                <w:rFonts w:ascii="Arial" w:hAnsi="Arial"/>
              </w:rPr>
              <w:t xml:space="preserve"> days</w:t>
            </w:r>
          </w:p>
        </w:tc>
      </w:tr>
      <w:tr w:rsidR="00E56818" w:rsidRPr="00406724" w:rsidTr="00A967C0">
        <w:trPr>
          <w:trHeight w:val="564"/>
          <w:jc w:val="center"/>
        </w:trPr>
        <w:tc>
          <w:tcPr>
            <w:tcW w:w="3820" w:type="dxa"/>
            <w:shd w:val="pct25" w:color="FFFF00" w:fill="FFFFFF"/>
          </w:tcPr>
          <w:p w:rsidR="00E56818" w:rsidRPr="005A07E2" w:rsidRDefault="00E56818" w:rsidP="00A967C0">
            <w:pPr>
              <w:jc w:val="left"/>
              <w:rPr>
                <w:rFonts w:ascii="Arial" w:hAnsi="Arial"/>
              </w:rPr>
            </w:pPr>
            <w:r w:rsidRPr="005A07E2">
              <w:rPr>
                <w:rFonts w:ascii="Arial" w:hAnsi="Arial"/>
              </w:rPr>
              <w:t>CBFB</w:t>
            </w:r>
            <w:r>
              <w:rPr>
                <w:rFonts w:ascii="Arial" w:hAnsi="Arial"/>
              </w:rPr>
              <w:t>::</w:t>
            </w:r>
            <w:r w:rsidRPr="005A07E2">
              <w:rPr>
                <w:rFonts w:ascii="Arial" w:hAnsi="Arial"/>
              </w:rPr>
              <w:t>MYH11 translocation quantitation*</w:t>
            </w:r>
          </w:p>
        </w:tc>
        <w:tc>
          <w:tcPr>
            <w:tcW w:w="1835" w:type="dxa"/>
            <w:shd w:val="pct25" w:color="FFFF00" w:fill="FFFFFF"/>
          </w:tcPr>
          <w:p w:rsidR="00E56818" w:rsidRPr="005A07E2" w:rsidRDefault="00E56818" w:rsidP="00A967C0">
            <w:pPr>
              <w:jc w:val="center"/>
              <w:rPr>
                <w:rFonts w:ascii="Arial" w:hAnsi="Arial"/>
              </w:rPr>
            </w:pPr>
            <w:r w:rsidRPr="005A07E2">
              <w:rPr>
                <w:rFonts w:ascii="Arial" w:hAnsi="Arial"/>
              </w:rPr>
              <w:t>EDTA PB or BM</w:t>
            </w:r>
          </w:p>
        </w:tc>
        <w:tc>
          <w:tcPr>
            <w:tcW w:w="1985" w:type="dxa"/>
            <w:shd w:val="pct25" w:color="FFFF00" w:fill="FFFFFF"/>
          </w:tcPr>
          <w:p w:rsidR="00E56818" w:rsidRPr="005A07E2" w:rsidRDefault="00E56818" w:rsidP="00A967C0">
            <w:pPr>
              <w:jc w:val="center"/>
              <w:rPr>
                <w:rFonts w:ascii="Arial" w:hAnsi="Arial"/>
              </w:rPr>
            </w:pPr>
            <w:r w:rsidRPr="005A07E2">
              <w:rPr>
                <w:rFonts w:ascii="Arial" w:hAnsi="Arial"/>
              </w:rPr>
              <w:t>On demand</w:t>
            </w:r>
          </w:p>
        </w:tc>
        <w:tc>
          <w:tcPr>
            <w:tcW w:w="2260" w:type="dxa"/>
            <w:shd w:val="pct25" w:color="FFFF00" w:fill="FFFFFF"/>
          </w:tcPr>
          <w:p w:rsidR="00E56818" w:rsidRPr="005A07E2" w:rsidRDefault="00E56818" w:rsidP="00A967C0">
            <w:pPr>
              <w:jc w:val="center"/>
              <w:rPr>
                <w:rFonts w:ascii="Arial" w:hAnsi="Arial"/>
              </w:rPr>
            </w:pPr>
            <w:r>
              <w:rPr>
                <w:rFonts w:ascii="Arial" w:hAnsi="Arial"/>
              </w:rPr>
              <w:t>14</w:t>
            </w:r>
            <w:r w:rsidRPr="005A07E2">
              <w:rPr>
                <w:rFonts w:ascii="Arial" w:hAnsi="Arial"/>
              </w:rPr>
              <w:t xml:space="preserve"> days</w:t>
            </w:r>
          </w:p>
        </w:tc>
      </w:tr>
      <w:tr w:rsidR="00E56818" w:rsidRPr="00406724" w:rsidTr="00A967C0">
        <w:trPr>
          <w:trHeight w:val="460"/>
          <w:jc w:val="center"/>
        </w:trPr>
        <w:tc>
          <w:tcPr>
            <w:tcW w:w="3820" w:type="dxa"/>
            <w:shd w:val="pct20" w:color="000000" w:fill="FFFFFF"/>
          </w:tcPr>
          <w:p w:rsidR="00E56818" w:rsidRPr="005A07E2" w:rsidRDefault="00E56818" w:rsidP="00A967C0">
            <w:pPr>
              <w:jc w:val="left"/>
              <w:rPr>
                <w:rFonts w:ascii="Arial" w:hAnsi="Arial"/>
              </w:rPr>
            </w:pPr>
            <w:r w:rsidRPr="005A07E2">
              <w:rPr>
                <w:rFonts w:ascii="Arial" w:hAnsi="Arial"/>
              </w:rPr>
              <w:t>Post SCT Chimerism analysis*</w:t>
            </w:r>
          </w:p>
        </w:tc>
        <w:tc>
          <w:tcPr>
            <w:tcW w:w="1835" w:type="dxa"/>
            <w:shd w:val="pct20" w:color="000000" w:fill="FFFFFF"/>
          </w:tcPr>
          <w:p w:rsidR="00E56818" w:rsidRPr="005A07E2" w:rsidRDefault="00E56818" w:rsidP="00A967C0">
            <w:pPr>
              <w:jc w:val="center"/>
              <w:rPr>
                <w:rFonts w:ascii="Arial" w:hAnsi="Arial"/>
              </w:rPr>
            </w:pPr>
            <w:r w:rsidRPr="005A07E2">
              <w:rPr>
                <w:rFonts w:ascii="Arial" w:hAnsi="Arial"/>
              </w:rPr>
              <w:t>EDTA PB or BM</w:t>
            </w:r>
          </w:p>
        </w:tc>
        <w:tc>
          <w:tcPr>
            <w:tcW w:w="1985" w:type="dxa"/>
            <w:shd w:val="pct20" w:color="000000" w:fill="FFFFFF"/>
          </w:tcPr>
          <w:p w:rsidR="00E56818" w:rsidRPr="005A07E2" w:rsidRDefault="00E56818" w:rsidP="00A967C0">
            <w:pPr>
              <w:jc w:val="center"/>
              <w:rPr>
                <w:rFonts w:ascii="Arial" w:hAnsi="Arial"/>
              </w:rPr>
            </w:pPr>
            <w:r>
              <w:rPr>
                <w:rFonts w:ascii="Arial" w:hAnsi="Arial"/>
              </w:rPr>
              <w:t>3 times per week</w:t>
            </w:r>
          </w:p>
        </w:tc>
        <w:tc>
          <w:tcPr>
            <w:tcW w:w="2260" w:type="dxa"/>
            <w:shd w:val="pct20" w:color="000000" w:fill="FFFFFF"/>
          </w:tcPr>
          <w:p w:rsidR="00E56818" w:rsidRPr="005A07E2" w:rsidRDefault="00E56818" w:rsidP="00A967C0">
            <w:pPr>
              <w:jc w:val="center"/>
              <w:rPr>
                <w:rFonts w:ascii="Arial" w:hAnsi="Arial"/>
              </w:rPr>
            </w:pPr>
            <w:r>
              <w:rPr>
                <w:rFonts w:ascii="Arial" w:hAnsi="Arial"/>
              </w:rPr>
              <w:t>14</w:t>
            </w:r>
            <w:r w:rsidRPr="005A07E2">
              <w:rPr>
                <w:rFonts w:ascii="Arial" w:hAnsi="Arial"/>
              </w:rPr>
              <w:t xml:space="preserve"> days</w:t>
            </w:r>
          </w:p>
        </w:tc>
      </w:tr>
      <w:tr w:rsidR="00E56818" w:rsidRPr="00406724" w:rsidTr="00A967C0">
        <w:trPr>
          <w:trHeight w:val="460"/>
          <w:jc w:val="center"/>
        </w:trPr>
        <w:tc>
          <w:tcPr>
            <w:tcW w:w="3820" w:type="dxa"/>
            <w:shd w:val="pct25" w:color="FFFF00" w:fill="FFFFFF"/>
          </w:tcPr>
          <w:p w:rsidR="00E56818" w:rsidRPr="005A07E2" w:rsidRDefault="00E56818" w:rsidP="00A967C0">
            <w:pPr>
              <w:jc w:val="left"/>
              <w:rPr>
                <w:rFonts w:ascii="Arial" w:hAnsi="Arial"/>
              </w:rPr>
            </w:pPr>
            <w:r w:rsidRPr="005A07E2">
              <w:rPr>
                <w:rFonts w:ascii="Arial" w:hAnsi="Arial"/>
              </w:rPr>
              <w:t>JAK2 V617F mutation quantitation</w:t>
            </w:r>
          </w:p>
        </w:tc>
        <w:tc>
          <w:tcPr>
            <w:tcW w:w="1835" w:type="dxa"/>
            <w:shd w:val="pct25" w:color="FFFF00" w:fill="FFFFFF"/>
          </w:tcPr>
          <w:p w:rsidR="00E56818" w:rsidRPr="005A07E2" w:rsidRDefault="00E56818" w:rsidP="00A967C0">
            <w:pPr>
              <w:jc w:val="center"/>
              <w:rPr>
                <w:rFonts w:ascii="Arial" w:hAnsi="Arial"/>
              </w:rPr>
            </w:pPr>
            <w:r w:rsidRPr="005A07E2">
              <w:rPr>
                <w:rFonts w:ascii="Arial" w:hAnsi="Arial"/>
              </w:rPr>
              <w:t>EDTA PB or BM</w:t>
            </w:r>
          </w:p>
        </w:tc>
        <w:tc>
          <w:tcPr>
            <w:tcW w:w="1985" w:type="dxa"/>
            <w:shd w:val="pct25" w:color="FFFF00" w:fill="FFFFFF"/>
          </w:tcPr>
          <w:p w:rsidR="00E56818" w:rsidRPr="005A07E2" w:rsidRDefault="00E56818" w:rsidP="00A967C0">
            <w:pPr>
              <w:jc w:val="center"/>
              <w:rPr>
                <w:rFonts w:ascii="Arial" w:hAnsi="Arial"/>
              </w:rPr>
            </w:pPr>
            <w:r w:rsidRPr="005A07E2">
              <w:rPr>
                <w:rFonts w:ascii="Arial" w:hAnsi="Arial"/>
              </w:rPr>
              <w:t>On demand</w:t>
            </w:r>
          </w:p>
        </w:tc>
        <w:tc>
          <w:tcPr>
            <w:tcW w:w="2260" w:type="dxa"/>
            <w:shd w:val="pct25" w:color="FFFF00" w:fill="FFFFFF"/>
          </w:tcPr>
          <w:p w:rsidR="00E56818" w:rsidRPr="005A07E2" w:rsidRDefault="00E56818" w:rsidP="00A967C0">
            <w:pPr>
              <w:jc w:val="center"/>
              <w:rPr>
                <w:rFonts w:ascii="Arial" w:hAnsi="Arial"/>
              </w:rPr>
            </w:pPr>
            <w:r>
              <w:rPr>
                <w:rFonts w:ascii="Arial" w:hAnsi="Arial"/>
              </w:rPr>
              <w:t xml:space="preserve">21 </w:t>
            </w:r>
            <w:r w:rsidRPr="005A07E2">
              <w:rPr>
                <w:rFonts w:ascii="Arial" w:hAnsi="Arial"/>
              </w:rPr>
              <w:t>days</w:t>
            </w:r>
          </w:p>
        </w:tc>
      </w:tr>
      <w:tr w:rsidR="00E56818" w:rsidRPr="00406724" w:rsidTr="00A967C0">
        <w:trPr>
          <w:trHeight w:val="460"/>
          <w:jc w:val="center"/>
        </w:trPr>
        <w:tc>
          <w:tcPr>
            <w:tcW w:w="3820" w:type="dxa"/>
            <w:shd w:val="pct20" w:color="000000" w:fill="FFFFFF"/>
          </w:tcPr>
          <w:p w:rsidR="00E56818" w:rsidRPr="005A07E2" w:rsidRDefault="00E56818" w:rsidP="00A967C0">
            <w:pPr>
              <w:jc w:val="left"/>
              <w:rPr>
                <w:rFonts w:ascii="Arial" w:hAnsi="Arial"/>
              </w:rPr>
            </w:pPr>
            <w:r>
              <w:rPr>
                <w:rFonts w:ascii="Arial" w:hAnsi="Arial"/>
              </w:rPr>
              <w:t>Myeloproliferative neoplasm panel</w:t>
            </w:r>
          </w:p>
        </w:tc>
        <w:tc>
          <w:tcPr>
            <w:tcW w:w="1835" w:type="dxa"/>
            <w:shd w:val="pct20" w:color="000000" w:fill="FFFFFF"/>
          </w:tcPr>
          <w:p w:rsidR="00E56818" w:rsidRPr="005A07E2" w:rsidRDefault="00E56818" w:rsidP="00A967C0">
            <w:pPr>
              <w:jc w:val="center"/>
              <w:rPr>
                <w:rFonts w:ascii="Arial" w:hAnsi="Arial"/>
              </w:rPr>
            </w:pPr>
            <w:r w:rsidRPr="005A07E2">
              <w:rPr>
                <w:rFonts w:ascii="Arial" w:hAnsi="Arial"/>
              </w:rPr>
              <w:t>EDTA PB or BM</w:t>
            </w:r>
          </w:p>
        </w:tc>
        <w:tc>
          <w:tcPr>
            <w:tcW w:w="1985" w:type="dxa"/>
            <w:shd w:val="pct20" w:color="000000" w:fill="FFFFFF"/>
          </w:tcPr>
          <w:p w:rsidR="00E56818" w:rsidRPr="005A07E2" w:rsidRDefault="00E56818" w:rsidP="00A967C0">
            <w:pPr>
              <w:jc w:val="center"/>
              <w:rPr>
                <w:rFonts w:ascii="Arial" w:hAnsi="Arial"/>
              </w:rPr>
            </w:pPr>
            <w:r>
              <w:rPr>
                <w:rFonts w:ascii="Arial" w:hAnsi="Arial"/>
              </w:rPr>
              <w:t>Weekly</w:t>
            </w:r>
          </w:p>
        </w:tc>
        <w:tc>
          <w:tcPr>
            <w:tcW w:w="2260" w:type="dxa"/>
            <w:shd w:val="pct20" w:color="000000" w:fill="FFFFFF"/>
          </w:tcPr>
          <w:p w:rsidR="00E56818" w:rsidRPr="005A07E2" w:rsidRDefault="00E56818" w:rsidP="00A967C0">
            <w:pPr>
              <w:jc w:val="center"/>
              <w:rPr>
                <w:rFonts w:ascii="Arial" w:hAnsi="Arial"/>
              </w:rPr>
            </w:pPr>
            <w:r>
              <w:rPr>
                <w:rFonts w:ascii="Arial" w:hAnsi="Arial"/>
              </w:rPr>
              <w:t>21</w:t>
            </w:r>
            <w:r w:rsidRPr="005A07E2">
              <w:rPr>
                <w:rFonts w:ascii="Arial" w:hAnsi="Arial"/>
              </w:rPr>
              <w:t xml:space="preserve"> days</w:t>
            </w:r>
          </w:p>
        </w:tc>
      </w:tr>
      <w:tr w:rsidR="00E56818" w:rsidRPr="00406724" w:rsidTr="00A967C0">
        <w:trPr>
          <w:trHeight w:val="460"/>
          <w:jc w:val="center"/>
        </w:trPr>
        <w:tc>
          <w:tcPr>
            <w:tcW w:w="3820" w:type="dxa"/>
            <w:shd w:val="pct25" w:color="FFFF00" w:fill="FFFFFF"/>
          </w:tcPr>
          <w:p w:rsidR="00E56818" w:rsidRPr="005A07E2" w:rsidRDefault="00E56818" w:rsidP="00A967C0">
            <w:pPr>
              <w:jc w:val="left"/>
              <w:rPr>
                <w:rFonts w:ascii="Arial" w:hAnsi="Arial"/>
              </w:rPr>
            </w:pPr>
            <w:r w:rsidRPr="005A07E2">
              <w:rPr>
                <w:rFonts w:ascii="Arial" w:hAnsi="Arial"/>
              </w:rPr>
              <w:t>BRAF V600E mutation detection</w:t>
            </w:r>
          </w:p>
        </w:tc>
        <w:tc>
          <w:tcPr>
            <w:tcW w:w="1835" w:type="dxa"/>
            <w:shd w:val="pct25" w:color="FFFF00" w:fill="FFFFFF"/>
          </w:tcPr>
          <w:p w:rsidR="00E56818" w:rsidRPr="005A07E2" w:rsidRDefault="00E56818" w:rsidP="00A967C0">
            <w:pPr>
              <w:jc w:val="center"/>
              <w:rPr>
                <w:rFonts w:ascii="Arial" w:hAnsi="Arial"/>
              </w:rPr>
            </w:pPr>
            <w:r w:rsidRPr="005A07E2">
              <w:rPr>
                <w:rFonts w:ascii="Arial" w:hAnsi="Arial"/>
              </w:rPr>
              <w:t>EDTA PB or BM</w:t>
            </w:r>
          </w:p>
        </w:tc>
        <w:tc>
          <w:tcPr>
            <w:tcW w:w="1985" w:type="dxa"/>
            <w:shd w:val="pct25" w:color="FFFF00" w:fill="FFFFFF"/>
          </w:tcPr>
          <w:p w:rsidR="00E56818" w:rsidRPr="005A07E2" w:rsidRDefault="00E56818" w:rsidP="00A967C0">
            <w:pPr>
              <w:jc w:val="center"/>
              <w:rPr>
                <w:rFonts w:ascii="Arial" w:hAnsi="Arial"/>
              </w:rPr>
            </w:pPr>
            <w:r w:rsidRPr="005A07E2">
              <w:rPr>
                <w:rFonts w:ascii="Arial" w:hAnsi="Arial"/>
              </w:rPr>
              <w:t>On demand</w:t>
            </w:r>
          </w:p>
        </w:tc>
        <w:tc>
          <w:tcPr>
            <w:tcW w:w="2260" w:type="dxa"/>
            <w:shd w:val="pct25" w:color="FFFF00" w:fill="FFFFFF"/>
          </w:tcPr>
          <w:p w:rsidR="00E56818" w:rsidRPr="005A07E2" w:rsidRDefault="00E56818" w:rsidP="00A967C0">
            <w:pPr>
              <w:jc w:val="center"/>
              <w:rPr>
                <w:rFonts w:ascii="Arial" w:hAnsi="Arial"/>
              </w:rPr>
            </w:pPr>
            <w:r>
              <w:rPr>
                <w:rFonts w:ascii="Arial" w:hAnsi="Arial"/>
              </w:rPr>
              <w:t>14</w:t>
            </w:r>
            <w:r w:rsidRPr="005A07E2">
              <w:rPr>
                <w:rFonts w:ascii="Arial" w:hAnsi="Arial"/>
              </w:rPr>
              <w:t xml:space="preserve"> days</w:t>
            </w:r>
          </w:p>
        </w:tc>
      </w:tr>
      <w:tr w:rsidR="00E56818" w:rsidRPr="00406724" w:rsidTr="00A967C0">
        <w:trPr>
          <w:trHeight w:val="460"/>
          <w:jc w:val="center"/>
        </w:trPr>
        <w:tc>
          <w:tcPr>
            <w:tcW w:w="3820" w:type="dxa"/>
            <w:shd w:val="pct20" w:color="000000" w:fill="FFFFFF"/>
          </w:tcPr>
          <w:p w:rsidR="00E56818" w:rsidRPr="005A07E2" w:rsidRDefault="00E56818" w:rsidP="00A967C0">
            <w:pPr>
              <w:jc w:val="left"/>
              <w:rPr>
                <w:rFonts w:ascii="Arial" w:hAnsi="Arial"/>
              </w:rPr>
            </w:pPr>
            <w:r w:rsidRPr="005A07E2">
              <w:rPr>
                <w:rFonts w:ascii="Arial" w:hAnsi="Arial"/>
              </w:rPr>
              <w:t>MYD88 L265P mutation detection</w:t>
            </w:r>
          </w:p>
        </w:tc>
        <w:tc>
          <w:tcPr>
            <w:tcW w:w="1835" w:type="dxa"/>
            <w:shd w:val="pct20" w:color="000000" w:fill="FFFFFF"/>
          </w:tcPr>
          <w:p w:rsidR="00E56818" w:rsidRPr="005A07E2" w:rsidRDefault="00E56818" w:rsidP="00A967C0">
            <w:pPr>
              <w:jc w:val="center"/>
              <w:rPr>
                <w:rFonts w:ascii="Arial" w:hAnsi="Arial"/>
              </w:rPr>
            </w:pPr>
            <w:r w:rsidRPr="005A07E2">
              <w:rPr>
                <w:rFonts w:ascii="Arial" w:hAnsi="Arial"/>
              </w:rPr>
              <w:t>EDTA PB or BM</w:t>
            </w:r>
          </w:p>
        </w:tc>
        <w:tc>
          <w:tcPr>
            <w:tcW w:w="1985" w:type="dxa"/>
            <w:shd w:val="pct20" w:color="000000" w:fill="FFFFFF"/>
          </w:tcPr>
          <w:p w:rsidR="00E56818" w:rsidRPr="005A07E2" w:rsidRDefault="00E56818" w:rsidP="00A967C0">
            <w:pPr>
              <w:jc w:val="center"/>
              <w:rPr>
                <w:rFonts w:ascii="Arial" w:hAnsi="Arial"/>
              </w:rPr>
            </w:pPr>
            <w:r w:rsidRPr="005A07E2">
              <w:rPr>
                <w:rFonts w:ascii="Arial" w:hAnsi="Arial"/>
              </w:rPr>
              <w:t>On demand</w:t>
            </w:r>
          </w:p>
        </w:tc>
        <w:tc>
          <w:tcPr>
            <w:tcW w:w="2260" w:type="dxa"/>
            <w:shd w:val="pct20" w:color="000000" w:fill="FFFFFF"/>
          </w:tcPr>
          <w:p w:rsidR="00E56818" w:rsidRPr="005A07E2" w:rsidRDefault="00E56818" w:rsidP="00A967C0">
            <w:pPr>
              <w:jc w:val="center"/>
              <w:rPr>
                <w:rFonts w:ascii="Arial" w:hAnsi="Arial"/>
              </w:rPr>
            </w:pPr>
            <w:r>
              <w:rPr>
                <w:rFonts w:ascii="Arial" w:hAnsi="Arial"/>
              </w:rPr>
              <w:t>21</w:t>
            </w:r>
            <w:r w:rsidRPr="005A07E2">
              <w:rPr>
                <w:rFonts w:ascii="Arial" w:hAnsi="Arial"/>
              </w:rPr>
              <w:t xml:space="preserve"> days</w:t>
            </w:r>
          </w:p>
        </w:tc>
      </w:tr>
      <w:tr w:rsidR="00E56818" w:rsidRPr="00406724" w:rsidTr="00A967C0">
        <w:trPr>
          <w:trHeight w:val="460"/>
          <w:jc w:val="center"/>
        </w:trPr>
        <w:tc>
          <w:tcPr>
            <w:tcW w:w="3820" w:type="dxa"/>
            <w:shd w:val="pct25" w:color="FFFF00" w:fill="FFFFFF"/>
          </w:tcPr>
          <w:p w:rsidR="00E56818" w:rsidRPr="005A07E2" w:rsidRDefault="00E56818" w:rsidP="00A967C0">
            <w:pPr>
              <w:jc w:val="left"/>
              <w:rPr>
                <w:rFonts w:ascii="Arial" w:hAnsi="Arial"/>
              </w:rPr>
            </w:pPr>
            <w:r w:rsidRPr="005A07E2">
              <w:rPr>
                <w:rFonts w:ascii="Arial" w:hAnsi="Arial"/>
              </w:rPr>
              <w:t>ABL1 kinase domain mutation detection*</w:t>
            </w:r>
          </w:p>
        </w:tc>
        <w:tc>
          <w:tcPr>
            <w:tcW w:w="1835" w:type="dxa"/>
            <w:shd w:val="pct25" w:color="FFFF00" w:fill="FFFFFF"/>
          </w:tcPr>
          <w:p w:rsidR="00E56818" w:rsidRPr="005A07E2" w:rsidRDefault="00E56818" w:rsidP="00A967C0">
            <w:pPr>
              <w:jc w:val="center"/>
              <w:rPr>
                <w:rFonts w:ascii="Arial" w:hAnsi="Arial"/>
              </w:rPr>
            </w:pPr>
            <w:r w:rsidRPr="005A07E2">
              <w:rPr>
                <w:rFonts w:ascii="Arial" w:hAnsi="Arial"/>
              </w:rPr>
              <w:t>EDTA PB or BM</w:t>
            </w:r>
          </w:p>
        </w:tc>
        <w:tc>
          <w:tcPr>
            <w:tcW w:w="1985" w:type="dxa"/>
            <w:shd w:val="pct25" w:color="FFFF00" w:fill="FFFFFF"/>
          </w:tcPr>
          <w:p w:rsidR="00E56818" w:rsidRPr="005A07E2" w:rsidRDefault="00E56818" w:rsidP="00A967C0">
            <w:pPr>
              <w:jc w:val="center"/>
              <w:rPr>
                <w:rFonts w:ascii="Arial" w:hAnsi="Arial"/>
              </w:rPr>
            </w:pPr>
            <w:r>
              <w:rPr>
                <w:rFonts w:ascii="Arial" w:hAnsi="Arial"/>
              </w:rPr>
              <w:t>Weekly</w:t>
            </w:r>
          </w:p>
        </w:tc>
        <w:tc>
          <w:tcPr>
            <w:tcW w:w="2260" w:type="dxa"/>
            <w:shd w:val="pct25" w:color="FFFF00" w:fill="FFFFFF"/>
          </w:tcPr>
          <w:p w:rsidR="00E56818" w:rsidRPr="005A07E2" w:rsidRDefault="00E56818" w:rsidP="00A967C0">
            <w:pPr>
              <w:jc w:val="center"/>
              <w:rPr>
                <w:rFonts w:ascii="Arial" w:hAnsi="Arial"/>
              </w:rPr>
            </w:pPr>
            <w:r>
              <w:rPr>
                <w:rFonts w:ascii="Arial" w:hAnsi="Arial"/>
              </w:rPr>
              <w:t>21</w:t>
            </w:r>
            <w:r w:rsidRPr="005A07E2">
              <w:rPr>
                <w:rFonts w:ascii="Arial" w:hAnsi="Arial"/>
              </w:rPr>
              <w:t xml:space="preserve"> days</w:t>
            </w:r>
          </w:p>
        </w:tc>
      </w:tr>
      <w:tr w:rsidR="00E56818" w:rsidRPr="00406724" w:rsidTr="00A967C0">
        <w:trPr>
          <w:trHeight w:val="460"/>
          <w:jc w:val="center"/>
        </w:trPr>
        <w:tc>
          <w:tcPr>
            <w:tcW w:w="3820" w:type="dxa"/>
            <w:shd w:val="pct20" w:color="000000" w:fill="FFFFFF"/>
          </w:tcPr>
          <w:p w:rsidR="00E56818" w:rsidRPr="005A07E2" w:rsidRDefault="00E56818" w:rsidP="00A967C0">
            <w:pPr>
              <w:jc w:val="left"/>
              <w:rPr>
                <w:rFonts w:ascii="Arial" w:hAnsi="Arial"/>
              </w:rPr>
            </w:pPr>
            <w:r w:rsidRPr="005A07E2">
              <w:rPr>
                <w:rFonts w:ascii="Arial" w:hAnsi="Arial"/>
              </w:rPr>
              <w:t xml:space="preserve">Myeloid </w:t>
            </w:r>
            <w:r>
              <w:rPr>
                <w:rFonts w:ascii="Arial" w:hAnsi="Arial"/>
              </w:rPr>
              <w:t xml:space="preserve">and Lymphoid </w:t>
            </w:r>
            <w:r w:rsidRPr="005A07E2">
              <w:rPr>
                <w:rFonts w:ascii="Arial" w:hAnsi="Arial"/>
              </w:rPr>
              <w:t>gene panel</w:t>
            </w:r>
            <w:r>
              <w:rPr>
                <w:rFonts w:ascii="Arial" w:hAnsi="Arial"/>
              </w:rPr>
              <w:t>s</w:t>
            </w:r>
          </w:p>
        </w:tc>
        <w:tc>
          <w:tcPr>
            <w:tcW w:w="1835" w:type="dxa"/>
            <w:shd w:val="pct20" w:color="000000" w:fill="FFFFFF"/>
          </w:tcPr>
          <w:p w:rsidR="00E56818" w:rsidRPr="005A07E2" w:rsidRDefault="00E56818" w:rsidP="00A967C0">
            <w:pPr>
              <w:jc w:val="center"/>
              <w:rPr>
                <w:rFonts w:ascii="Arial" w:hAnsi="Arial"/>
              </w:rPr>
            </w:pPr>
            <w:r w:rsidRPr="005A07E2">
              <w:rPr>
                <w:rFonts w:ascii="Arial" w:hAnsi="Arial"/>
              </w:rPr>
              <w:t>EDTA PB or BM</w:t>
            </w:r>
          </w:p>
        </w:tc>
        <w:tc>
          <w:tcPr>
            <w:tcW w:w="1985" w:type="dxa"/>
            <w:shd w:val="pct20" w:color="000000" w:fill="FFFFFF"/>
          </w:tcPr>
          <w:p w:rsidR="00E56818" w:rsidRPr="005A07E2" w:rsidRDefault="00E56818" w:rsidP="00A967C0">
            <w:pPr>
              <w:jc w:val="center"/>
              <w:rPr>
                <w:rFonts w:ascii="Arial" w:hAnsi="Arial"/>
              </w:rPr>
            </w:pPr>
            <w:r>
              <w:rPr>
                <w:rFonts w:ascii="Arial" w:hAnsi="Arial"/>
              </w:rPr>
              <w:t>Weekly</w:t>
            </w:r>
          </w:p>
        </w:tc>
        <w:tc>
          <w:tcPr>
            <w:tcW w:w="2260" w:type="dxa"/>
            <w:shd w:val="pct20" w:color="000000" w:fill="FFFFFF"/>
          </w:tcPr>
          <w:p w:rsidR="00E56818" w:rsidRPr="005A07E2" w:rsidRDefault="00E56818" w:rsidP="00A967C0">
            <w:pPr>
              <w:jc w:val="center"/>
              <w:rPr>
                <w:rFonts w:ascii="Arial" w:hAnsi="Arial"/>
              </w:rPr>
            </w:pPr>
            <w:r>
              <w:rPr>
                <w:rFonts w:ascii="Arial" w:hAnsi="Arial"/>
              </w:rPr>
              <w:t>21</w:t>
            </w:r>
            <w:r w:rsidRPr="005A07E2">
              <w:rPr>
                <w:rFonts w:ascii="Arial" w:hAnsi="Arial"/>
              </w:rPr>
              <w:t xml:space="preserve"> days</w:t>
            </w:r>
          </w:p>
        </w:tc>
      </w:tr>
      <w:tr w:rsidR="00E56818" w:rsidRPr="00406724" w:rsidTr="00A967C0">
        <w:trPr>
          <w:trHeight w:val="460"/>
          <w:jc w:val="center"/>
        </w:trPr>
        <w:tc>
          <w:tcPr>
            <w:tcW w:w="3820" w:type="dxa"/>
            <w:shd w:val="pct25" w:color="FFFF00" w:fill="FFFFFF"/>
          </w:tcPr>
          <w:p w:rsidR="00E56818" w:rsidRPr="005A07E2" w:rsidRDefault="00E56818" w:rsidP="00A967C0">
            <w:pPr>
              <w:jc w:val="left"/>
              <w:rPr>
                <w:rFonts w:ascii="Arial" w:hAnsi="Arial"/>
              </w:rPr>
            </w:pPr>
            <w:r w:rsidRPr="005A07E2">
              <w:rPr>
                <w:rFonts w:ascii="Arial" w:hAnsi="Arial"/>
              </w:rPr>
              <w:t>SNP array karyotyping</w:t>
            </w:r>
          </w:p>
        </w:tc>
        <w:tc>
          <w:tcPr>
            <w:tcW w:w="1835" w:type="dxa"/>
            <w:shd w:val="pct25" w:color="FFFF00" w:fill="FFFFFF"/>
          </w:tcPr>
          <w:p w:rsidR="00E56818" w:rsidRPr="005A07E2" w:rsidRDefault="00E56818" w:rsidP="00A967C0">
            <w:pPr>
              <w:jc w:val="center"/>
              <w:rPr>
                <w:rFonts w:ascii="Arial" w:hAnsi="Arial"/>
              </w:rPr>
            </w:pPr>
            <w:r w:rsidRPr="005A07E2">
              <w:rPr>
                <w:rFonts w:ascii="Arial" w:hAnsi="Arial"/>
              </w:rPr>
              <w:t>EDTA PB or BM</w:t>
            </w:r>
          </w:p>
        </w:tc>
        <w:tc>
          <w:tcPr>
            <w:tcW w:w="1985" w:type="dxa"/>
            <w:shd w:val="pct25" w:color="FFFF00" w:fill="FFFFFF"/>
          </w:tcPr>
          <w:p w:rsidR="00E56818" w:rsidRPr="005A07E2" w:rsidRDefault="00E56818" w:rsidP="00A967C0">
            <w:pPr>
              <w:jc w:val="center"/>
              <w:rPr>
                <w:rFonts w:ascii="Arial" w:hAnsi="Arial"/>
              </w:rPr>
            </w:pPr>
            <w:r w:rsidRPr="005A07E2">
              <w:rPr>
                <w:rFonts w:ascii="Arial" w:hAnsi="Arial"/>
              </w:rPr>
              <w:t>Weekly</w:t>
            </w:r>
          </w:p>
        </w:tc>
        <w:tc>
          <w:tcPr>
            <w:tcW w:w="2260" w:type="dxa"/>
            <w:shd w:val="pct25" w:color="FFFF00" w:fill="FFFFFF"/>
          </w:tcPr>
          <w:p w:rsidR="00E56818" w:rsidRPr="005A07E2" w:rsidRDefault="00E56818" w:rsidP="00A967C0">
            <w:pPr>
              <w:jc w:val="center"/>
              <w:rPr>
                <w:rFonts w:ascii="Arial" w:hAnsi="Arial"/>
              </w:rPr>
            </w:pPr>
            <w:r>
              <w:rPr>
                <w:rFonts w:ascii="Arial" w:hAnsi="Arial"/>
              </w:rPr>
              <w:t xml:space="preserve">21 </w:t>
            </w:r>
            <w:r w:rsidRPr="005A07E2">
              <w:rPr>
                <w:rFonts w:ascii="Arial" w:hAnsi="Arial"/>
              </w:rPr>
              <w:t>days</w:t>
            </w:r>
          </w:p>
        </w:tc>
      </w:tr>
      <w:tr w:rsidR="00E56818" w:rsidRPr="00406724" w:rsidTr="00A967C0">
        <w:trPr>
          <w:trHeight w:val="460"/>
          <w:jc w:val="center"/>
        </w:trPr>
        <w:tc>
          <w:tcPr>
            <w:tcW w:w="3820" w:type="dxa"/>
            <w:shd w:val="pct20" w:color="000000" w:fill="FFFFFF"/>
          </w:tcPr>
          <w:p w:rsidR="00E56818" w:rsidRPr="005A07E2" w:rsidRDefault="00E56818" w:rsidP="00A967C0">
            <w:pPr>
              <w:jc w:val="left"/>
              <w:rPr>
                <w:rFonts w:ascii="Arial" w:hAnsi="Arial"/>
              </w:rPr>
            </w:pPr>
            <w:r>
              <w:rPr>
                <w:rFonts w:ascii="Arial" w:hAnsi="Arial"/>
              </w:rPr>
              <w:t xml:space="preserve">FLT3 / NPM1 </w:t>
            </w:r>
            <w:r w:rsidRPr="005A07E2">
              <w:rPr>
                <w:rFonts w:ascii="Arial" w:hAnsi="Arial"/>
              </w:rPr>
              <w:t>mutation analysis</w:t>
            </w:r>
          </w:p>
        </w:tc>
        <w:tc>
          <w:tcPr>
            <w:tcW w:w="1835" w:type="dxa"/>
            <w:shd w:val="pct20" w:color="000000" w:fill="FFFFFF"/>
          </w:tcPr>
          <w:p w:rsidR="00E56818" w:rsidRPr="005A07E2" w:rsidRDefault="00E56818" w:rsidP="00A967C0">
            <w:pPr>
              <w:jc w:val="center"/>
              <w:rPr>
                <w:rFonts w:ascii="Arial" w:hAnsi="Arial"/>
              </w:rPr>
            </w:pPr>
            <w:r w:rsidRPr="005A07E2">
              <w:rPr>
                <w:rFonts w:ascii="Arial" w:hAnsi="Arial"/>
              </w:rPr>
              <w:t>EDTA PB or BM</w:t>
            </w:r>
          </w:p>
        </w:tc>
        <w:tc>
          <w:tcPr>
            <w:tcW w:w="1985" w:type="dxa"/>
            <w:shd w:val="pct20" w:color="000000" w:fill="FFFFFF"/>
          </w:tcPr>
          <w:p w:rsidR="00E56818" w:rsidRPr="005A07E2" w:rsidRDefault="00E56818" w:rsidP="00A967C0">
            <w:pPr>
              <w:jc w:val="center"/>
              <w:rPr>
                <w:rFonts w:ascii="Arial" w:hAnsi="Arial"/>
              </w:rPr>
            </w:pPr>
            <w:r w:rsidRPr="005A07E2">
              <w:rPr>
                <w:rFonts w:ascii="Arial" w:hAnsi="Arial"/>
              </w:rPr>
              <w:t>On demand</w:t>
            </w:r>
          </w:p>
        </w:tc>
        <w:tc>
          <w:tcPr>
            <w:tcW w:w="2260" w:type="dxa"/>
            <w:shd w:val="pct20" w:color="000000" w:fill="FFFFFF"/>
          </w:tcPr>
          <w:p w:rsidR="00E56818" w:rsidRPr="005A07E2" w:rsidRDefault="00E56818" w:rsidP="00A967C0">
            <w:pPr>
              <w:jc w:val="center"/>
              <w:rPr>
                <w:rFonts w:ascii="Arial" w:hAnsi="Arial"/>
              </w:rPr>
            </w:pPr>
            <w:r>
              <w:rPr>
                <w:rFonts w:ascii="Arial" w:hAnsi="Arial"/>
              </w:rPr>
              <w:t>14</w:t>
            </w:r>
            <w:r w:rsidRPr="005A07E2">
              <w:rPr>
                <w:rFonts w:ascii="Arial" w:hAnsi="Arial"/>
              </w:rPr>
              <w:t xml:space="preserve"> days</w:t>
            </w:r>
            <w:r>
              <w:rPr>
                <w:rFonts w:ascii="Arial" w:hAnsi="Arial"/>
              </w:rPr>
              <w:t>#</w:t>
            </w:r>
          </w:p>
        </w:tc>
      </w:tr>
    </w:tbl>
    <w:p w:rsidR="00E56818" w:rsidRDefault="00E56818" w:rsidP="00E56818">
      <w:pPr>
        <w:ind w:left="142" w:hanging="142"/>
        <w:rPr>
          <w:rFonts w:ascii="Arial" w:hAnsi="Arial"/>
          <w:b/>
          <w:bCs/>
        </w:rPr>
      </w:pPr>
    </w:p>
    <w:p w:rsidR="00E56818" w:rsidRPr="00E56818" w:rsidRDefault="00E56818" w:rsidP="00E56818">
      <w:pPr>
        <w:ind w:left="142" w:hanging="142"/>
        <w:rPr>
          <w:rFonts w:ascii="Arial" w:hAnsi="Arial"/>
          <w:bCs/>
          <w:sz w:val="18"/>
          <w:szCs w:val="18"/>
        </w:rPr>
      </w:pPr>
      <w:r w:rsidRPr="00406724">
        <w:rPr>
          <w:rFonts w:ascii="Arial" w:hAnsi="Arial"/>
          <w:b/>
          <w:bCs/>
        </w:rPr>
        <w:t>*</w:t>
      </w:r>
      <w:r w:rsidRPr="00406724">
        <w:rPr>
          <w:rFonts w:ascii="Arial" w:hAnsi="Arial"/>
          <w:bCs/>
        </w:rPr>
        <w:t xml:space="preserve"> </w:t>
      </w:r>
      <w:r w:rsidRPr="00E56818">
        <w:rPr>
          <w:rFonts w:ascii="Arial" w:hAnsi="Arial"/>
          <w:bCs/>
          <w:sz w:val="18"/>
          <w:szCs w:val="18"/>
        </w:rPr>
        <w:t>These tests utilise RT qPCR methods (RNA based) or cell fractionation so samples must be &lt; 72 hours old when received – refer to the Section 7: Additional Information on Molecular Investigations in LMH lab below on page 13 for further information.</w:t>
      </w:r>
    </w:p>
    <w:p w:rsidR="00E56818" w:rsidRPr="00E56818" w:rsidRDefault="00E56818" w:rsidP="00E56818">
      <w:pPr>
        <w:rPr>
          <w:rFonts w:ascii="Arial" w:hAnsi="Arial"/>
          <w:bCs/>
          <w:sz w:val="18"/>
          <w:szCs w:val="18"/>
        </w:rPr>
      </w:pPr>
      <w:r w:rsidRPr="00E56818">
        <w:rPr>
          <w:rFonts w:ascii="Arial" w:hAnsi="Arial"/>
          <w:bCs/>
          <w:sz w:val="18"/>
          <w:szCs w:val="18"/>
        </w:rPr>
        <w:t>**</w:t>
      </w:r>
      <w:r w:rsidRPr="00E56818">
        <w:rPr>
          <w:rFonts w:ascii="Arial" w:hAnsi="Arial"/>
          <w:sz w:val="18"/>
          <w:szCs w:val="18"/>
        </w:rPr>
        <w:t xml:space="preserve"> </w:t>
      </w:r>
      <w:r w:rsidRPr="00E56818">
        <w:rPr>
          <w:rFonts w:ascii="Arial" w:hAnsi="Arial"/>
          <w:bCs/>
          <w:sz w:val="18"/>
          <w:szCs w:val="18"/>
        </w:rPr>
        <w:t>Maximum turnaround time in calendar days from receipt of sample during working week</w:t>
      </w:r>
    </w:p>
    <w:p w:rsidR="00E56818" w:rsidRPr="00E56818" w:rsidRDefault="00E56818" w:rsidP="00E56818">
      <w:pPr>
        <w:rPr>
          <w:rFonts w:ascii="Arial" w:hAnsi="Arial"/>
          <w:b/>
          <w:bCs/>
          <w:sz w:val="18"/>
          <w:szCs w:val="18"/>
        </w:rPr>
      </w:pPr>
      <w:r w:rsidRPr="00E56818">
        <w:rPr>
          <w:rFonts w:ascii="Arial" w:hAnsi="Arial"/>
          <w:bCs/>
          <w:sz w:val="18"/>
          <w:szCs w:val="18"/>
        </w:rPr>
        <w:t xml:space="preserve"># This is the NHSE commissioned TAT. The LMH laboratory will attempt to deliver FLT3/NPM1 mutation screens in &lt;5 days where the service allows.  </w:t>
      </w:r>
    </w:p>
    <w:p w:rsidR="00E56818" w:rsidRPr="00406724" w:rsidRDefault="00E56818" w:rsidP="00E56818">
      <w:pPr>
        <w:rPr>
          <w:rFonts w:ascii="Arial" w:hAnsi="Arial"/>
          <w:b/>
          <w:bCs/>
        </w:rPr>
      </w:pPr>
      <w:r w:rsidRPr="00406724">
        <w:rPr>
          <w:rFonts w:ascii="Arial" w:hAnsi="Arial"/>
          <w:b/>
          <w:bCs/>
        </w:rPr>
        <w:br w:type="page"/>
      </w:r>
    </w:p>
    <w:p w:rsidR="00E56818" w:rsidRPr="00406724" w:rsidRDefault="00E56818" w:rsidP="00E56818">
      <w:pPr>
        <w:pStyle w:val="Heading1"/>
        <w:keepLines w:val="0"/>
        <w:widowControl w:val="0"/>
        <w:numPr>
          <w:ilvl w:val="0"/>
          <w:numId w:val="33"/>
        </w:numPr>
        <w:shd w:val="clear" w:color="auto" w:fill="D9D9D9"/>
        <w:tabs>
          <w:tab w:val="left" w:pos="-720"/>
        </w:tabs>
        <w:suppressAutoHyphens/>
        <w:overflowPunct w:val="0"/>
        <w:autoSpaceDE w:val="0"/>
        <w:autoSpaceDN w:val="0"/>
        <w:adjustRightInd w:val="0"/>
        <w:spacing w:before="0" w:after="0"/>
        <w:jc w:val="both"/>
        <w:textAlignment w:val="baseline"/>
        <w:rPr>
          <w:bCs/>
        </w:rPr>
      </w:pPr>
      <w:bookmarkStart w:id="36" w:name="_Toc114849232"/>
      <w:r w:rsidRPr="00406724">
        <w:rPr>
          <w:bCs/>
        </w:rPr>
        <w:lastRenderedPageBreak/>
        <w:t>Test</w:t>
      </w:r>
      <w:r>
        <w:rPr>
          <w:bCs/>
        </w:rPr>
        <w:t>s R</w:t>
      </w:r>
      <w:r w:rsidRPr="00406724">
        <w:rPr>
          <w:bCs/>
        </w:rPr>
        <w:t xml:space="preserve">eferred to </w:t>
      </w:r>
      <w:r>
        <w:rPr>
          <w:bCs/>
        </w:rPr>
        <w:t>O</w:t>
      </w:r>
      <w:r w:rsidRPr="00406724">
        <w:rPr>
          <w:bCs/>
        </w:rPr>
        <w:t xml:space="preserve">ther </w:t>
      </w:r>
      <w:r>
        <w:rPr>
          <w:bCs/>
        </w:rPr>
        <w:t>L</w:t>
      </w:r>
      <w:r w:rsidRPr="00406724">
        <w:rPr>
          <w:bCs/>
        </w:rPr>
        <w:t>aboratories</w:t>
      </w:r>
      <w:bookmarkEnd w:id="36"/>
    </w:p>
    <w:p w:rsidR="00E56818" w:rsidRPr="00406724" w:rsidRDefault="00E56818" w:rsidP="00E56818">
      <w:pPr>
        <w:rPr>
          <w:rFonts w:ascii="Arial" w:hAnsi="Arial"/>
          <w:b/>
          <w:bCs/>
        </w:rPr>
      </w:pPr>
    </w:p>
    <w:tbl>
      <w:tblPr>
        <w:tblW w:w="9631" w:type="dxa"/>
        <w:tblBorders>
          <w:top w:val="single" w:sz="12" w:space="0" w:color="008000"/>
          <w:left w:val="single" w:sz="6" w:space="0" w:color="008000"/>
          <w:bottom w:val="single" w:sz="12" w:space="0" w:color="008000"/>
          <w:right w:val="single" w:sz="6" w:space="0" w:color="008000"/>
          <w:insideH w:val="single" w:sz="6" w:space="0" w:color="000000"/>
        </w:tblBorders>
        <w:tblLook w:val="0000" w:firstRow="0" w:lastRow="0" w:firstColumn="0" w:lastColumn="0" w:noHBand="0" w:noVBand="0"/>
      </w:tblPr>
      <w:tblGrid>
        <w:gridCol w:w="3085"/>
        <w:gridCol w:w="2158"/>
        <w:gridCol w:w="2933"/>
        <w:gridCol w:w="1455"/>
      </w:tblGrid>
      <w:tr w:rsidR="00E56818" w:rsidRPr="00AB4797" w:rsidTr="00A967C0">
        <w:trPr>
          <w:trHeight w:val="690"/>
        </w:trPr>
        <w:tc>
          <w:tcPr>
            <w:tcW w:w="3085" w:type="dxa"/>
            <w:shd w:val="pct20" w:color="000000" w:fill="FFFFFF"/>
          </w:tcPr>
          <w:p w:rsidR="00E56818" w:rsidRPr="00AB4797" w:rsidRDefault="00E56818" w:rsidP="00A967C0">
            <w:pPr>
              <w:jc w:val="center"/>
              <w:rPr>
                <w:rFonts w:ascii="Arial" w:hAnsi="Arial"/>
                <w:b/>
              </w:rPr>
            </w:pPr>
            <w:bookmarkStart w:id="37" w:name="_Toc351649682"/>
            <w:r w:rsidRPr="00AB4797">
              <w:rPr>
                <w:rFonts w:ascii="Arial" w:hAnsi="Arial"/>
                <w:b/>
              </w:rPr>
              <w:t>Test</w:t>
            </w:r>
            <w:bookmarkEnd w:id="37"/>
          </w:p>
        </w:tc>
        <w:tc>
          <w:tcPr>
            <w:tcW w:w="2158" w:type="dxa"/>
            <w:shd w:val="pct20" w:color="000000" w:fill="FFFFFF"/>
          </w:tcPr>
          <w:p w:rsidR="00E56818" w:rsidRPr="00AB4797" w:rsidRDefault="00E56818" w:rsidP="00A967C0">
            <w:pPr>
              <w:jc w:val="center"/>
              <w:rPr>
                <w:rFonts w:ascii="Arial" w:hAnsi="Arial"/>
                <w:b/>
              </w:rPr>
            </w:pPr>
            <w:bookmarkStart w:id="38" w:name="_Toc351649683"/>
            <w:r w:rsidRPr="00AB4797">
              <w:rPr>
                <w:rFonts w:ascii="Arial" w:hAnsi="Arial"/>
                <w:b/>
              </w:rPr>
              <w:t>Sample type</w:t>
            </w:r>
            <w:bookmarkEnd w:id="38"/>
          </w:p>
        </w:tc>
        <w:tc>
          <w:tcPr>
            <w:tcW w:w="2933" w:type="dxa"/>
            <w:shd w:val="pct20" w:color="000000" w:fill="FFFFFF"/>
          </w:tcPr>
          <w:p w:rsidR="00E56818" w:rsidRPr="00AB4797" w:rsidRDefault="00E56818" w:rsidP="00A967C0">
            <w:pPr>
              <w:jc w:val="left"/>
              <w:rPr>
                <w:rFonts w:ascii="Arial" w:hAnsi="Arial"/>
                <w:b/>
              </w:rPr>
            </w:pPr>
            <w:bookmarkStart w:id="39" w:name="_Toc351649684"/>
            <w:r w:rsidRPr="00AB4797">
              <w:rPr>
                <w:rFonts w:ascii="Arial" w:hAnsi="Arial"/>
                <w:b/>
              </w:rPr>
              <w:t>Reference Laboratory</w:t>
            </w:r>
            <w:bookmarkEnd w:id="39"/>
          </w:p>
        </w:tc>
        <w:tc>
          <w:tcPr>
            <w:tcW w:w="1455" w:type="dxa"/>
            <w:shd w:val="pct20" w:color="000000" w:fill="FFFFFF"/>
          </w:tcPr>
          <w:p w:rsidR="00E56818" w:rsidRPr="00AB4797" w:rsidRDefault="00E56818" w:rsidP="00A967C0">
            <w:pPr>
              <w:jc w:val="center"/>
              <w:rPr>
                <w:rFonts w:ascii="Arial" w:hAnsi="Arial"/>
                <w:b/>
              </w:rPr>
            </w:pPr>
            <w:r w:rsidRPr="00AB4797">
              <w:rPr>
                <w:rFonts w:ascii="Arial" w:hAnsi="Arial"/>
                <w:b/>
              </w:rPr>
              <w:t>Turnaround Time</w:t>
            </w:r>
          </w:p>
        </w:tc>
      </w:tr>
      <w:tr w:rsidR="00E56818" w:rsidRPr="00AB4797" w:rsidTr="00A967C0">
        <w:trPr>
          <w:trHeight w:val="690"/>
        </w:trPr>
        <w:tc>
          <w:tcPr>
            <w:tcW w:w="3085" w:type="dxa"/>
            <w:shd w:val="pct25" w:color="FFFF00" w:fill="FFFFFF"/>
          </w:tcPr>
          <w:p w:rsidR="00E56818" w:rsidRPr="00AB4797" w:rsidRDefault="00E56818" w:rsidP="00A967C0">
            <w:pPr>
              <w:jc w:val="left"/>
              <w:rPr>
                <w:rFonts w:ascii="Arial" w:hAnsi="Arial"/>
              </w:rPr>
            </w:pPr>
            <w:r w:rsidRPr="00AB4797">
              <w:rPr>
                <w:rFonts w:ascii="Arial" w:hAnsi="Arial"/>
              </w:rPr>
              <w:t>KIT mutation detection and monitoring*</w:t>
            </w:r>
          </w:p>
        </w:tc>
        <w:tc>
          <w:tcPr>
            <w:tcW w:w="2158" w:type="dxa"/>
            <w:shd w:val="pct25" w:color="FFFF00" w:fill="FFFFFF"/>
          </w:tcPr>
          <w:p w:rsidR="00E56818" w:rsidRPr="00AB4797" w:rsidRDefault="00E56818" w:rsidP="00A967C0">
            <w:pPr>
              <w:jc w:val="center"/>
              <w:rPr>
                <w:rFonts w:ascii="Arial" w:hAnsi="Arial"/>
              </w:rPr>
            </w:pPr>
            <w:r w:rsidRPr="00AB4797">
              <w:rPr>
                <w:rFonts w:ascii="Arial" w:hAnsi="Arial"/>
              </w:rPr>
              <w:t>EDTA BM only</w:t>
            </w:r>
          </w:p>
        </w:tc>
        <w:tc>
          <w:tcPr>
            <w:tcW w:w="2933" w:type="dxa"/>
            <w:shd w:val="pct25" w:color="FFFF00" w:fill="FFFFFF"/>
          </w:tcPr>
          <w:p w:rsidR="00E56818" w:rsidRPr="00AB4797" w:rsidRDefault="00B54957" w:rsidP="00A967C0">
            <w:pPr>
              <w:jc w:val="left"/>
              <w:rPr>
                <w:rFonts w:ascii="Arial" w:hAnsi="Arial"/>
              </w:rPr>
            </w:pPr>
            <w:hyperlink r:id="rId21" w:history="1">
              <w:r w:rsidR="00E56818" w:rsidRPr="00AB4797">
                <w:rPr>
                  <w:rStyle w:val="Hyperlink"/>
                  <w:rFonts w:ascii="Arial" w:hAnsi="Arial"/>
                </w:rPr>
                <w:t>Wessex Regional Genetic Laboratory</w:t>
              </w:r>
            </w:hyperlink>
          </w:p>
        </w:tc>
        <w:tc>
          <w:tcPr>
            <w:tcW w:w="1455" w:type="dxa"/>
            <w:shd w:val="pct25" w:color="FFFF00" w:fill="FFFFFF"/>
          </w:tcPr>
          <w:p w:rsidR="00E56818" w:rsidRPr="00AB4797" w:rsidRDefault="00E56818" w:rsidP="00A967C0">
            <w:pPr>
              <w:jc w:val="center"/>
              <w:rPr>
                <w:rFonts w:ascii="Arial" w:hAnsi="Arial"/>
              </w:rPr>
            </w:pPr>
            <w:r w:rsidRPr="00AB4797">
              <w:rPr>
                <w:rFonts w:ascii="Arial" w:hAnsi="Arial"/>
              </w:rPr>
              <w:t>20 days</w:t>
            </w:r>
          </w:p>
        </w:tc>
      </w:tr>
      <w:tr w:rsidR="00E56818" w:rsidRPr="00AB4797" w:rsidTr="00A967C0">
        <w:trPr>
          <w:trHeight w:val="690"/>
        </w:trPr>
        <w:tc>
          <w:tcPr>
            <w:tcW w:w="3085" w:type="dxa"/>
            <w:shd w:val="pct20" w:color="000000" w:fill="FFFFFF"/>
          </w:tcPr>
          <w:p w:rsidR="00E56818" w:rsidRPr="00AB4797" w:rsidRDefault="00E56818" w:rsidP="00A967C0">
            <w:pPr>
              <w:jc w:val="left"/>
              <w:rPr>
                <w:rFonts w:ascii="Arial" w:hAnsi="Arial"/>
              </w:rPr>
            </w:pPr>
            <w:r w:rsidRPr="00AB4797">
              <w:rPr>
                <w:rFonts w:ascii="Arial" w:hAnsi="Arial"/>
              </w:rPr>
              <w:t>FIP1L1::PDGFRA translocation* (monitoring only)</w:t>
            </w:r>
          </w:p>
        </w:tc>
        <w:tc>
          <w:tcPr>
            <w:tcW w:w="2158" w:type="dxa"/>
            <w:shd w:val="pct20" w:color="000000" w:fill="FFFFFF"/>
          </w:tcPr>
          <w:p w:rsidR="00E56818" w:rsidRPr="00AB4797" w:rsidRDefault="00E56818" w:rsidP="00A967C0">
            <w:pPr>
              <w:jc w:val="center"/>
              <w:rPr>
                <w:rFonts w:ascii="Arial" w:hAnsi="Arial"/>
              </w:rPr>
            </w:pPr>
            <w:r w:rsidRPr="00AB4797">
              <w:rPr>
                <w:rFonts w:ascii="Arial" w:hAnsi="Arial"/>
              </w:rPr>
              <w:t>EDTA PB or BM</w:t>
            </w:r>
          </w:p>
        </w:tc>
        <w:tc>
          <w:tcPr>
            <w:tcW w:w="2933" w:type="dxa"/>
            <w:shd w:val="pct20" w:color="000000" w:fill="FFFFFF"/>
          </w:tcPr>
          <w:p w:rsidR="00E56818" w:rsidRPr="00AB4797" w:rsidRDefault="00B54957" w:rsidP="00A967C0">
            <w:pPr>
              <w:jc w:val="left"/>
              <w:rPr>
                <w:rFonts w:ascii="Arial" w:hAnsi="Arial"/>
              </w:rPr>
            </w:pPr>
            <w:hyperlink r:id="rId22" w:history="1">
              <w:r w:rsidR="00E56818" w:rsidRPr="00AB4797">
                <w:rPr>
                  <w:rStyle w:val="Hyperlink"/>
                  <w:rFonts w:ascii="Arial" w:hAnsi="Arial"/>
                </w:rPr>
                <w:t>Wessex Regional Genetic Laboratory</w:t>
              </w:r>
            </w:hyperlink>
          </w:p>
        </w:tc>
        <w:tc>
          <w:tcPr>
            <w:tcW w:w="1455" w:type="dxa"/>
            <w:shd w:val="pct20" w:color="000000" w:fill="FFFFFF"/>
          </w:tcPr>
          <w:p w:rsidR="00E56818" w:rsidRPr="00AB4797" w:rsidRDefault="00E56818" w:rsidP="00A967C0">
            <w:pPr>
              <w:jc w:val="center"/>
              <w:rPr>
                <w:rFonts w:ascii="Arial" w:hAnsi="Arial"/>
              </w:rPr>
            </w:pPr>
            <w:r w:rsidRPr="00AB4797">
              <w:rPr>
                <w:rFonts w:ascii="Arial" w:hAnsi="Arial"/>
              </w:rPr>
              <w:t>20 days</w:t>
            </w:r>
          </w:p>
        </w:tc>
      </w:tr>
      <w:tr w:rsidR="00E56818" w:rsidRPr="00AB4797" w:rsidTr="00A967C0">
        <w:trPr>
          <w:trHeight w:val="690"/>
        </w:trPr>
        <w:tc>
          <w:tcPr>
            <w:tcW w:w="3085" w:type="dxa"/>
            <w:shd w:val="pct25" w:color="FFFF00" w:fill="FFFFFF"/>
          </w:tcPr>
          <w:p w:rsidR="00E56818" w:rsidRPr="00AB4797" w:rsidRDefault="00E56818" w:rsidP="00A967C0">
            <w:pPr>
              <w:jc w:val="left"/>
              <w:rPr>
                <w:rFonts w:ascii="Arial" w:hAnsi="Arial"/>
              </w:rPr>
            </w:pPr>
            <w:r w:rsidRPr="00AB4797">
              <w:rPr>
                <w:rFonts w:ascii="Arial" w:hAnsi="Arial"/>
              </w:rPr>
              <w:t>NPM1 transcript monitoring**</w:t>
            </w:r>
          </w:p>
        </w:tc>
        <w:tc>
          <w:tcPr>
            <w:tcW w:w="2158" w:type="dxa"/>
            <w:shd w:val="pct25" w:color="FFFF00" w:fill="FFFFFF"/>
          </w:tcPr>
          <w:p w:rsidR="00E56818" w:rsidRPr="00AB4797" w:rsidRDefault="00E56818" w:rsidP="00A967C0">
            <w:pPr>
              <w:jc w:val="center"/>
              <w:rPr>
                <w:rFonts w:ascii="Arial" w:hAnsi="Arial"/>
              </w:rPr>
            </w:pPr>
            <w:r w:rsidRPr="00AB4797">
              <w:rPr>
                <w:rFonts w:ascii="Arial" w:hAnsi="Arial"/>
              </w:rPr>
              <w:t>EDTA PB or BM</w:t>
            </w:r>
          </w:p>
        </w:tc>
        <w:tc>
          <w:tcPr>
            <w:tcW w:w="2933" w:type="dxa"/>
            <w:shd w:val="pct25" w:color="FFFF00" w:fill="FFFFFF"/>
          </w:tcPr>
          <w:p w:rsidR="00E56818" w:rsidRPr="00AB4797" w:rsidRDefault="006831FC" w:rsidP="00A967C0">
            <w:pPr>
              <w:jc w:val="left"/>
              <w:rPr>
                <w:rFonts w:ascii="Arial" w:hAnsi="Arial"/>
              </w:rPr>
            </w:pPr>
            <w:r w:rsidRPr="006831FC">
              <w:rPr>
                <w:rFonts w:ascii="Arial" w:hAnsi="Arial"/>
                <w:spacing w:val="-3"/>
                <w:szCs w:val="22"/>
              </w:rPr>
              <w:t>Synnovis</w:t>
            </w:r>
            <w:r w:rsidRPr="006831FC">
              <w:rPr>
                <w:szCs w:val="22"/>
              </w:rPr>
              <w:t xml:space="preserve"> </w:t>
            </w:r>
            <w:hyperlink r:id="rId23" w:history="1">
              <w:r w:rsidR="00E56818" w:rsidRPr="00AB4797">
                <w:rPr>
                  <w:rFonts w:ascii="Arial" w:hAnsi="Arial"/>
                </w:rPr>
                <w:t>Molecular Oncology Unit, Guys Cancer Centre</w:t>
              </w:r>
            </w:hyperlink>
            <w:r w:rsidR="00E56818" w:rsidRPr="00AB4797">
              <w:rPr>
                <w:rFonts w:ascii="Arial" w:hAnsi="Arial"/>
              </w:rPr>
              <w:t xml:space="preserve"> UKAS Lab No </w:t>
            </w:r>
            <w:hyperlink r:id="rId24" w:anchor="/tabbed/search?q=8688&amp;ati=1" w:history="1">
              <w:r w:rsidR="00E56818" w:rsidRPr="00AB4797">
                <w:rPr>
                  <w:rFonts w:ascii="Arial" w:hAnsi="Arial"/>
                </w:rPr>
                <w:t>8688</w:t>
              </w:r>
            </w:hyperlink>
          </w:p>
        </w:tc>
        <w:tc>
          <w:tcPr>
            <w:tcW w:w="1455" w:type="dxa"/>
            <w:shd w:val="pct25" w:color="FFFF00" w:fill="FFFFFF"/>
          </w:tcPr>
          <w:p w:rsidR="00E56818" w:rsidRPr="00AB4797" w:rsidRDefault="00E56818" w:rsidP="00A967C0">
            <w:pPr>
              <w:jc w:val="center"/>
              <w:rPr>
                <w:rFonts w:ascii="Arial" w:hAnsi="Arial"/>
              </w:rPr>
            </w:pPr>
            <w:r w:rsidRPr="00AB4797">
              <w:rPr>
                <w:rFonts w:ascii="Arial" w:hAnsi="Arial"/>
              </w:rPr>
              <w:t>14 days</w:t>
            </w:r>
          </w:p>
        </w:tc>
      </w:tr>
      <w:tr w:rsidR="00E56818" w:rsidRPr="00AB4797" w:rsidTr="00A967C0">
        <w:trPr>
          <w:trHeight w:val="690"/>
        </w:trPr>
        <w:tc>
          <w:tcPr>
            <w:tcW w:w="3085" w:type="dxa"/>
            <w:shd w:val="pct20" w:color="000000" w:fill="FFFFFF"/>
          </w:tcPr>
          <w:p w:rsidR="00E56818" w:rsidRPr="00AB4797" w:rsidRDefault="00E56818" w:rsidP="00A967C0">
            <w:pPr>
              <w:jc w:val="left"/>
              <w:rPr>
                <w:rFonts w:ascii="Arial" w:hAnsi="Arial"/>
              </w:rPr>
            </w:pPr>
            <w:r>
              <w:rPr>
                <w:rFonts w:ascii="Arial" w:hAnsi="Arial"/>
              </w:rPr>
              <w:t>IgVH resequencing*</w:t>
            </w:r>
          </w:p>
        </w:tc>
        <w:tc>
          <w:tcPr>
            <w:tcW w:w="2158" w:type="dxa"/>
            <w:shd w:val="pct20" w:color="000000" w:fill="FFFFFF"/>
          </w:tcPr>
          <w:p w:rsidR="00E56818" w:rsidRPr="00AB4797" w:rsidRDefault="00E56818" w:rsidP="00A967C0">
            <w:pPr>
              <w:jc w:val="center"/>
              <w:rPr>
                <w:rFonts w:ascii="Arial" w:hAnsi="Arial"/>
              </w:rPr>
            </w:pPr>
            <w:r w:rsidRPr="00AB4797">
              <w:rPr>
                <w:rFonts w:ascii="Arial" w:hAnsi="Arial"/>
              </w:rPr>
              <w:t>EDTA PB or BM</w:t>
            </w:r>
          </w:p>
        </w:tc>
        <w:tc>
          <w:tcPr>
            <w:tcW w:w="2933" w:type="dxa"/>
            <w:shd w:val="pct20" w:color="000000" w:fill="FFFFFF"/>
          </w:tcPr>
          <w:p w:rsidR="00E56818" w:rsidRPr="00AB4797" w:rsidRDefault="00B54957" w:rsidP="00A967C0">
            <w:pPr>
              <w:jc w:val="left"/>
              <w:rPr>
                <w:rFonts w:ascii="Arial" w:hAnsi="Arial"/>
              </w:rPr>
            </w:pPr>
            <w:hyperlink r:id="rId25" w:history="1">
              <w:r w:rsidR="006831FC" w:rsidRPr="006831FC">
                <w:rPr>
                  <w:rFonts w:ascii="Arial" w:hAnsi="Arial"/>
                  <w:spacing w:val="-3"/>
                  <w:szCs w:val="22"/>
                </w:rPr>
                <w:t>Synnovis</w:t>
              </w:r>
              <w:r w:rsidR="00E56818" w:rsidRPr="00AB4797">
                <w:rPr>
                  <w:rFonts w:ascii="Arial" w:hAnsi="Arial"/>
                </w:rPr>
                <w:t xml:space="preserve"> Advanced Diagnostics, King’s</w:t>
              </w:r>
            </w:hyperlink>
            <w:r w:rsidR="00E56818" w:rsidRPr="00AB4797">
              <w:rPr>
                <w:rFonts w:ascii="Arial" w:hAnsi="Arial"/>
              </w:rPr>
              <w:t xml:space="preserve"> college Hospital </w:t>
            </w:r>
          </w:p>
        </w:tc>
        <w:tc>
          <w:tcPr>
            <w:tcW w:w="1455" w:type="dxa"/>
            <w:shd w:val="pct20" w:color="000000" w:fill="FFFFFF"/>
          </w:tcPr>
          <w:p w:rsidR="00E56818" w:rsidRPr="00AB4797" w:rsidRDefault="00E56818" w:rsidP="00A967C0">
            <w:pPr>
              <w:jc w:val="center"/>
              <w:rPr>
                <w:rFonts w:ascii="Arial" w:hAnsi="Arial"/>
              </w:rPr>
            </w:pPr>
            <w:r w:rsidRPr="00AB4797">
              <w:rPr>
                <w:rFonts w:ascii="Arial" w:hAnsi="Arial"/>
              </w:rPr>
              <w:t>21 days</w:t>
            </w:r>
          </w:p>
        </w:tc>
      </w:tr>
      <w:tr w:rsidR="00E56818" w:rsidRPr="00AB4797" w:rsidTr="00A967C0">
        <w:trPr>
          <w:trHeight w:val="690"/>
        </w:trPr>
        <w:tc>
          <w:tcPr>
            <w:tcW w:w="3085" w:type="dxa"/>
            <w:shd w:val="pct25" w:color="FFFF00" w:fill="FFFFFF"/>
          </w:tcPr>
          <w:p w:rsidR="00E56818" w:rsidRPr="00AB4797" w:rsidRDefault="00E56818" w:rsidP="00A967C0">
            <w:pPr>
              <w:jc w:val="left"/>
              <w:rPr>
                <w:rFonts w:ascii="Arial" w:hAnsi="Arial"/>
              </w:rPr>
            </w:pPr>
            <w:r w:rsidRPr="00AB4797">
              <w:rPr>
                <w:rFonts w:ascii="Arial" w:hAnsi="Arial"/>
              </w:rPr>
              <w:t>BCR::ABL1 rare transcripts (not included above) monitoring</w:t>
            </w:r>
          </w:p>
        </w:tc>
        <w:tc>
          <w:tcPr>
            <w:tcW w:w="2158" w:type="dxa"/>
            <w:shd w:val="pct25" w:color="FFFF00" w:fill="FFFFFF"/>
          </w:tcPr>
          <w:p w:rsidR="00E56818" w:rsidRPr="00AB4797" w:rsidRDefault="00E56818" w:rsidP="00A967C0">
            <w:pPr>
              <w:jc w:val="center"/>
              <w:rPr>
                <w:rFonts w:ascii="Arial" w:hAnsi="Arial"/>
              </w:rPr>
            </w:pPr>
            <w:r w:rsidRPr="00AB4797">
              <w:rPr>
                <w:rFonts w:ascii="Arial" w:hAnsi="Arial"/>
              </w:rPr>
              <w:t>EDTA PB or BM</w:t>
            </w:r>
          </w:p>
        </w:tc>
        <w:tc>
          <w:tcPr>
            <w:tcW w:w="2933" w:type="dxa"/>
            <w:shd w:val="pct25" w:color="FFFF00" w:fill="FFFFFF"/>
          </w:tcPr>
          <w:p w:rsidR="00E56818" w:rsidRPr="00AB4797" w:rsidRDefault="00B54957" w:rsidP="00A967C0">
            <w:pPr>
              <w:jc w:val="left"/>
              <w:rPr>
                <w:rFonts w:ascii="Arial" w:hAnsi="Arial"/>
              </w:rPr>
            </w:pPr>
            <w:hyperlink r:id="rId26" w:history="1">
              <w:r w:rsidR="00E56818" w:rsidRPr="00AB4797">
                <w:rPr>
                  <w:rStyle w:val="Hyperlink"/>
                  <w:rFonts w:ascii="Arial" w:hAnsi="Arial"/>
                </w:rPr>
                <w:t>Hammersmith Hospital Molecular Pathology HMDS</w:t>
              </w:r>
            </w:hyperlink>
          </w:p>
        </w:tc>
        <w:tc>
          <w:tcPr>
            <w:tcW w:w="1455" w:type="dxa"/>
            <w:shd w:val="pct25" w:color="FFFF00" w:fill="FFFFFF"/>
          </w:tcPr>
          <w:p w:rsidR="00E56818" w:rsidRPr="00AB4797" w:rsidRDefault="00E56818" w:rsidP="00A967C0">
            <w:pPr>
              <w:jc w:val="center"/>
              <w:rPr>
                <w:rFonts w:ascii="Arial" w:hAnsi="Arial"/>
              </w:rPr>
            </w:pPr>
            <w:r>
              <w:rPr>
                <w:rFonts w:ascii="Arial" w:hAnsi="Arial"/>
              </w:rPr>
              <w:t>20 days</w:t>
            </w:r>
          </w:p>
        </w:tc>
      </w:tr>
    </w:tbl>
    <w:p w:rsidR="00E56818" w:rsidRPr="00E56818" w:rsidRDefault="00E56818" w:rsidP="00E56818">
      <w:pPr>
        <w:rPr>
          <w:rFonts w:ascii="Arial" w:hAnsi="Arial"/>
          <w:bCs/>
          <w:sz w:val="20"/>
          <w:szCs w:val="20"/>
        </w:rPr>
      </w:pPr>
      <w:bookmarkStart w:id="40" w:name="_Toc75134133"/>
      <w:r w:rsidRPr="00E56818">
        <w:rPr>
          <w:rFonts w:ascii="Arial" w:hAnsi="Arial"/>
          <w:bCs/>
          <w:sz w:val="20"/>
          <w:szCs w:val="20"/>
        </w:rPr>
        <w:t>Key:</w:t>
      </w:r>
    </w:p>
    <w:p w:rsidR="00E56818" w:rsidRPr="00E56818" w:rsidRDefault="00E56818" w:rsidP="00E56818">
      <w:pPr>
        <w:rPr>
          <w:rFonts w:ascii="Arial" w:hAnsi="Arial"/>
          <w:bCs/>
          <w:sz w:val="20"/>
          <w:szCs w:val="20"/>
        </w:rPr>
      </w:pPr>
      <w:r w:rsidRPr="00E56818">
        <w:rPr>
          <w:rFonts w:ascii="Arial" w:hAnsi="Arial"/>
          <w:b/>
          <w:bCs/>
          <w:sz w:val="20"/>
          <w:szCs w:val="20"/>
        </w:rPr>
        <w:t>*</w:t>
      </w:r>
      <w:r w:rsidRPr="00E56818">
        <w:rPr>
          <w:rFonts w:ascii="Arial" w:hAnsi="Arial"/>
          <w:bCs/>
          <w:sz w:val="20"/>
          <w:szCs w:val="20"/>
        </w:rPr>
        <w:t xml:space="preserve"> = NOT a test within the ISO15189 accreditation scope of the laboratory</w:t>
      </w:r>
    </w:p>
    <w:p w:rsidR="00E56818" w:rsidRPr="00E56818" w:rsidRDefault="00E56818" w:rsidP="00E56818">
      <w:pPr>
        <w:rPr>
          <w:rFonts w:ascii="Arial" w:hAnsi="Arial"/>
          <w:bCs/>
          <w:sz w:val="20"/>
          <w:szCs w:val="20"/>
        </w:rPr>
      </w:pPr>
      <w:r w:rsidRPr="00E56818">
        <w:rPr>
          <w:rFonts w:ascii="Arial" w:hAnsi="Arial"/>
          <w:bCs/>
          <w:sz w:val="20"/>
          <w:szCs w:val="20"/>
        </w:rPr>
        <w:t>** = a test within the ISO15189 accreditation scope of the sendaway laboratory</w:t>
      </w:r>
    </w:p>
    <w:p w:rsidR="00E56818" w:rsidRPr="00406724" w:rsidRDefault="00E56818" w:rsidP="00E56818">
      <w:pPr>
        <w:jc w:val="right"/>
        <w:rPr>
          <w:rFonts w:ascii="Arial" w:hAnsi="Arial"/>
        </w:rPr>
      </w:pPr>
      <w:r>
        <w:rPr>
          <w:rFonts w:ascii="Arial" w:hAnsi="Arial"/>
        </w:rPr>
        <w:br w:type="page"/>
      </w:r>
    </w:p>
    <w:p w:rsidR="00E56818" w:rsidRPr="00406724" w:rsidRDefault="00E56818" w:rsidP="00E56818">
      <w:pPr>
        <w:pStyle w:val="Heading1"/>
        <w:keepLines w:val="0"/>
        <w:widowControl w:val="0"/>
        <w:numPr>
          <w:ilvl w:val="0"/>
          <w:numId w:val="33"/>
        </w:numPr>
        <w:shd w:val="clear" w:color="auto" w:fill="D9D9D9"/>
        <w:tabs>
          <w:tab w:val="left" w:pos="-720"/>
        </w:tabs>
        <w:suppressAutoHyphens/>
        <w:overflowPunct w:val="0"/>
        <w:autoSpaceDE w:val="0"/>
        <w:autoSpaceDN w:val="0"/>
        <w:adjustRightInd w:val="0"/>
        <w:spacing w:before="0" w:after="0"/>
        <w:jc w:val="both"/>
        <w:textAlignment w:val="baseline"/>
        <w:rPr>
          <w:bCs/>
        </w:rPr>
      </w:pPr>
      <w:bookmarkStart w:id="41" w:name="_Toc114849233"/>
      <w:bookmarkEnd w:id="40"/>
      <w:r w:rsidRPr="00406724">
        <w:rPr>
          <w:bCs/>
        </w:rPr>
        <w:lastRenderedPageBreak/>
        <w:t>External Quality Assurance (EQA) scheme participation</w:t>
      </w:r>
      <w:bookmarkEnd w:id="41"/>
      <w:r w:rsidRPr="00406724">
        <w:rPr>
          <w:bCs/>
        </w:rPr>
        <w:t xml:space="preserve"> </w:t>
      </w:r>
    </w:p>
    <w:p w:rsidR="00E56818" w:rsidRPr="00406724" w:rsidRDefault="00E56818" w:rsidP="00E56818">
      <w:pPr>
        <w:rPr>
          <w:rFonts w:ascii="Arial" w:hAnsi="Arial"/>
        </w:rPr>
      </w:pPr>
    </w:p>
    <w:tbl>
      <w:tblPr>
        <w:tblW w:w="9356" w:type="dxa"/>
        <w:tblBorders>
          <w:top w:val="single" w:sz="12" w:space="0" w:color="008000"/>
          <w:left w:val="single" w:sz="6" w:space="0" w:color="008000"/>
          <w:bottom w:val="single" w:sz="12" w:space="0" w:color="008000"/>
          <w:right w:val="single" w:sz="6" w:space="0" w:color="008000"/>
          <w:insideH w:val="single" w:sz="6" w:space="0" w:color="000000"/>
        </w:tblBorders>
        <w:tblLook w:val="04A0" w:firstRow="1" w:lastRow="0" w:firstColumn="1" w:lastColumn="0" w:noHBand="0" w:noVBand="1"/>
      </w:tblPr>
      <w:tblGrid>
        <w:gridCol w:w="6912"/>
        <w:gridCol w:w="2444"/>
      </w:tblGrid>
      <w:tr w:rsidR="00E56818" w:rsidRPr="00AB4797" w:rsidTr="00A967C0">
        <w:trPr>
          <w:trHeight w:val="57"/>
        </w:trPr>
        <w:tc>
          <w:tcPr>
            <w:tcW w:w="6912" w:type="dxa"/>
            <w:tcBorders>
              <w:bottom w:val="single" w:sz="12" w:space="0" w:color="008000"/>
            </w:tcBorders>
            <w:shd w:val="solid" w:color="C0C0C0" w:fill="FFFFFF"/>
          </w:tcPr>
          <w:p w:rsidR="00E56818" w:rsidRPr="00AB4797" w:rsidRDefault="00E56818" w:rsidP="00A967C0">
            <w:pPr>
              <w:spacing w:line="276" w:lineRule="auto"/>
              <w:jc w:val="center"/>
              <w:rPr>
                <w:rFonts w:ascii="Arial" w:eastAsia="Calibri" w:hAnsi="Arial"/>
                <w:b/>
                <w:bCs/>
                <w:szCs w:val="22"/>
              </w:rPr>
            </w:pPr>
            <w:r w:rsidRPr="00AB4797">
              <w:rPr>
                <w:rFonts w:ascii="Arial" w:eastAsia="Calibri" w:hAnsi="Arial"/>
                <w:b/>
                <w:bCs/>
                <w:szCs w:val="22"/>
              </w:rPr>
              <w:t>Test</w:t>
            </w:r>
          </w:p>
        </w:tc>
        <w:tc>
          <w:tcPr>
            <w:tcW w:w="2444" w:type="dxa"/>
            <w:tcBorders>
              <w:bottom w:val="single" w:sz="12" w:space="0" w:color="008000"/>
            </w:tcBorders>
            <w:shd w:val="solid" w:color="C0C0C0" w:fill="FFFFFF"/>
          </w:tcPr>
          <w:p w:rsidR="00E56818" w:rsidRPr="00AB4797" w:rsidRDefault="00E56818" w:rsidP="00A967C0">
            <w:pPr>
              <w:spacing w:line="276" w:lineRule="auto"/>
              <w:rPr>
                <w:rFonts w:ascii="Arial" w:eastAsia="Calibri" w:hAnsi="Arial"/>
                <w:b/>
                <w:bCs/>
                <w:szCs w:val="22"/>
              </w:rPr>
            </w:pPr>
            <w:r w:rsidRPr="00AB4797">
              <w:rPr>
                <w:rFonts w:ascii="Arial" w:eastAsia="Calibri" w:hAnsi="Arial"/>
                <w:b/>
                <w:bCs/>
                <w:szCs w:val="22"/>
              </w:rPr>
              <w:t>EQA Schemes</w:t>
            </w:r>
          </w:p>
        </w:tc>
      </w:tr>
      <w:tr w:rsidR="00E56818" w:rsidRPr="00AB4797" w:rsidTr="00A967C0">
        <w:trPr>
          <w:trHeight w:val="57"/>
        </w:trPr>
        <w:tc>
          <w:tcPr>
            <w:tcW w:w="6912" w:type="dxa"/>
            <w:shd w:val="pct20" w:color="0000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BCR::ABL1 major (P210) quantitation</w:t>
            </w:r>
          </w:p>
        </w:tc>
        <w:tc>
          <w:tcPr>
            <w:tcW w:w="2444" w:type="dxa"/>
            <w:shd w:val="pct20" w:color="0000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w:t>
            </w:r>
          </w:p>
        </w:tc>
      </w:tr>
      <w:tr w:rsidR="00E56818" w:rsidRPr="00AB4797" w:rsidTr="00A967C0">
        <w:trPr>
          <w:trHeight w:val="57"/>
        </w:trPr>
        <w:tc>
          <w:tcPr>
            <w:tcW w:w="6912" w:type="dxa"/>
            <w:shd w:val="pct25" w:color="FFFF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Post Stem Cell Transplant Chimerism analysis</w:t>
            </w:r>
          </w:p>
        </w:tc>
        <w:tc>
          <w:tcPr>
            <w:tcW w:w="2444" w:type="dxa"/>
            <w:shd w:val="pct25" w:color="FFFF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w:t>
            </w:r>
          </w:p>
        </w:tc>
      </w:tr>
      <w:tr w:rsidR="00E56818" w:rsidRPr="00AB4797" w:rsidTr="00A967C0">
        <w:trPr>
          <w:trHeight w:val="57"/>
        </w:trPr>
        <w:tc>
          <w:tcPr>
            <w:tcW w:w="6912" w:type="dxa"/>
            <w:shd w:val="pct20" w:color="0000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JAK2 V617F mutation quantitation</w:t>
            </w:r>
          </w:p>
        </w:tc>
        <w:tc>
          <w:tcPr>
            <w:tcW w:w="2444" w:type="dxa"/>
            <w:shd w:val="pct20" w:color="0000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w:t>
            </w:r>
          </w:p>
        </w:tc>
      </w:tr>
      <w:tr w:rsidR="00E56818" w:rsidRPr="00AB4797" w:rsidTr="00A967C0">
        <w:trPr>
          <w:trHeight w:val="57"/>
        </w:trPr>
        <w:tc>
          <w:tcPr>
            <w:tcW w:w="6912" w:type="dxa"/>
            <w:shd w:val="pct25" w:color="FFFF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BRAF V600E mutation detection</w:t>
            </w:r>
          </w:p>
        </w:tc>
        <w:tc>
          <w:tcPr>
            <w:tcW w:w="2444" w:type="dxa"/>
            <w:shd w:val="pct25" w:color="FFFF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w:t>
            </w:r>
          </w:p>
        </w:tc>
      </w:tr>
      <w:tr w:rsidR="00E56818" w:rsidRPr="00AB4797" w:rsidTr="00A967C0">
        <w:trPr>
          <w:trHeight w:val="57"/>
        </w:trPr>
        <w:tc>
          <w:tcPr>
            <w:tcW w:w="6912" w:type="dxa"/>
            <w:shd w:val="pct20" w:color="0000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MYD88 L265P mutation detection</w:t>
            </w:r>
          </w:p>
        </w:tc>
        <w:tc>
          <w:tcPr>
            <w:tcW w:w="2444" w:type="dxa"/>
            <w:shd w:val="pct20" w:color="0000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 pilot scheme</w:t>
            </w:r>
          </w:p>
        </w:tc>
      </w:tr>
      <w:tr w:rsidR="00E56818" w:rsidRPr="00AB4797" w:rsidTr="00A967C0">
        <w:trPr>
          <w:trHeight w:val="57"/>
        </w:trPr>
        <w:tc>
          <w:tcPr>
            <w:tcW w:w="6912" w:type="dxa"/>
            <w:shd w:val="pct25" w:color="FFFF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ABL1 kinase domain mutation detection</w:t>
            </w:r>
          </w:p>
        </w:tc>
        <w:tc>
          <w:tcPr>
            <w:tcW w:w="2444" w:type="dxa"/>
            <w:shd w:val="pct25" w:color="FFFF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w:t>
            </w:r>
          </w:p>
        </w:tc>
      </w:tr>
      <w:tr w:rsidR="00E56818" w:rsidRPr="00AB4797" w:rsidTr="00A967C0">
        <w:trPr>
          <w:trHeight w:val="57"/>
        </w:trPr>
        <w:tc>
          <w:tcPr>
            <w:tcW w:w="6912" w:type="dxa"/>
            <w:shd w:val="pct20" w:color="0000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Myeloid gene panel NGS</w:t>
            </w:r>
          </w:p>
        </w:tc>
        <w:tc>
          <w:tcPr>
            <w:tcW w:w="2444" w:type="dxa"/>
            <w:shd w:val="pct20" w:color="0000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 pilot scheme</w:t>
            </w:r>
          </w:p>
        </w:tc>
      </w:tr>
      <w:tr w:rsidR="00E56818" w:rsidRPr="00AB4797" w:rsidTr="00A967C0">
        <w:trPr>
          <w:trHeight w:val="57"/>
        </w:trPr>
        <w:tc>
          <w:tcPr>
            <w:tcW w:w="6912" w:type="dxa"/>
            <w:shd w:val="pct25" w:color="FFFF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SNP array karyotyping Myeloid</w:t>
            </w:r>
          </w:p>
        </w:tc>
        <w:tc>
          <w:tcPr>
            <w:tcW w:w="2444" w:type="dxa"/>
            <w:shd w:val="pct25" w:color="FFFF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GenQA</w:t>
            </w:r>
          </w:p>
        </w:tc>
      </w:tr>
      <w:tr w:rsidR="00E56818" w:rsidRPr="00AB4797" w:rsidTr="00A967C0">
        <w:trPr>
          <w:trHeight w:val="57"/>
        </w:trPr>
        <w:tc>
          <w:tcPr>
            <w:tcW w:w="6912" w:type="dxa"/>
            <w:shd w:val="pct20" w:color="0000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SNP array karyotyping Chronic Lymphocytic Leukaemia (CLL)</w:t>
            </w:r>
          </w:p>
        </w:tc>
        <w:tc>
          <w:tcPr>
            <w:tcW w:w="2444" w:type="dxa"/>
            <w:shd w:val="pct20" w:color="0000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GenQA</w:t>
            </w:r>
          </w:p>
        </w:tc>
      </w:tr>
      <w:tr w:rsidR="00E56818" w:rsidRPr="00AB4797" w:rsidTr="00A967C0">
        <w:trPr>
          <w:trHeight w:val="57"/>
        </w:trPr>
        <w:tc>
          <w:tcPr>
            <w:tcW w:w="6912" w:type="dxa"/>
            <w:shd w:val="pct25" w:color="FFFF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SNP array karyotyping Acute Lymphoblastic Leukaemia (ALL)</w:t>
            </w:r>
          </w:p>
        </w:tc>
        <w:tc>
          <w:tcPr>
            <w:tcW w:w="2444" w:type="dxa"/>
            <w:shd w:val="pct25" w:color="FFFF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GenQA</w:t>
            </w:r>
          </w:p>
        </w:tc>
      </w:tr>
      <w:tr w:rsidR="00E56818" w:rsidRPr="00AB4797" w:rsidTr="00A967C0">
        <w:trPr>
          <w:trHeight w:val="57"/>
        </w:trPr>
        <w:tc>
          <w:tcPr>
            <w:tcW w:w="6912" w:type="dxa"/>
            <w:shd w:val="pct20" w:color="0000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TP53 (NGS)</w:t>
            </w:r>
          </w:p>
        </w:tc>
        <w:tc>
          <w:tcPr>
            <w:tcW w:w="2444" w:type="dxa"/>
            <w:shd w:val="pct20" w:color="0000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 and GenQA</w:t>
            </w:r>
          </w:p>
        </w:tc>
      </w:tr>
      <w:tr w:rsidR="00E56818" w:rsidRPr="00AB4797" w:rsidTr="00A967C0">
        <w:trPr>
          <w:trHeight w:val="57"/>
        </w:trPr>
        <w:tc>
          <w:tcPr>
            <w:tcW w:w="6912" w:type="dxa"/>
            <w:shd w:val="pct25" w:color="FFFF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MPN gene panel NGS</w:t>
            </w:r>
          </w:p>
        </w:tc>
        <w:tc>
          <w:tcPr>
            <w:tcW w:w="2444" w:type="dxa"/>
            <w:shd w:val="pct25" w:color="FFFF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 pilot scheme</w:t>
            </w:r>
          </w:p>
        </w:tc>
      </w:tr>
      <w:tr w:rsidR="00E56818" w:rsidRPr="00AB4797" w:rsidTr="00A967C0">
        <w:trPr>
          <w:trHeight w:val="57"/>
        </w:trPr>
        <w:tc>
          <w:tcPr>
            <w:tcW w:w="6912" w:type="dxa"/>
            <w:shd w:val="pct20" w:color="0000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BCR::ABL1 and AML Translocation Identification</w:t>
            </w:r>
          </w:p>
        </w:tc>
        <w:tc>
          <w:tcPr>
            <w:tcW w:w="2444" w:type="dxa"/>
            <w:shd w:val="pct20" w:color="0000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w:t>
            </w:r>
          </w:p>
        </w:tc>
      </w:tr>
      <w:tr w:rsidR="00E56818" w:rsidRPr="00AB4797" w:rsidTr="00A967C0">
        <w:trPr>
          <w:trHeight w:val="57"/>
        </w:trPr>
        <w:tc>
          <w:tcPr>
            <w:tcW w:w="6912" w:type="dxa"/>
            <w:shd w:val="pct25" w:color="FFFF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BCR::ABL1 minor (P190) quantitation</w:t>
            </w:r>
          </w:p>
        </w:tc>
        <w:tc>
          <w:tcPr>
            <w:tcW w:w="2444" w:type="dxa"/>
            <w:shd w:val="pct25" w:color="FFFF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 pilot scheme</w:t>
            </w:r>
          </w:p>
        </w:tc>
      </w:tr>
      <w:tr w:rsidR="00E56818" w:rsidRPr="00AB4797" w:rsidTr="00A967C0">
        <w:trPr>
          <w:trHeight w:val="57"/>
        </w:trPr>
        <w:tc>
          <w:tcPr>
            <w:tcW w:w="6912" w:type="dxa"/>
            <w:shd w:val="pct20" w:color="0000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 xml:space="preserve">Chronic Lymphocytic Leukaemia Gene Panels NGS </w:t>
            </w:r>
          </w:p>
        </w:tc>
        <w:tc>
          <w:tcPr>
            <w:tcW w:w="2444" w:type="dxa"/>
            <w:shd w:val="pct20" w:color="0000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 pilot scheme</w:t>
            </w:r>
          </w:p>
        </w:tc>
      </w:tr>
      <w:tr w:rsidR="00E56818" w:rsidRPr="00AB4797" w:rsidTr="00A967C0">
        <w:trPr>
          <w:trHeight w:val="57"/>
        </w:trPr>
        <w:tc>
          <w:tcPr>
            <w:tcW w:w="6912" w:type="dxa"/>
            <w:shd w:val="pct25" w:color="FFFF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FLT3 Mutation Status</w:t>
            </w:r>
          </w:p>
        </w:tc>
        <w:tc>
          <w:tcPr>
            <w:tcW w:w="2444" w:type="dxa"/>
            <w:shd w:val="pct25" w:color="FFFF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w:t>
            </w:r>
          </w:p>
        </w:tc>
      </w:tr>
      <w:tr w:rsidR="00E56818" w:rsidRPr="00AB4797" w:rsidTr="00A967C0">
        <w:trPr>
          <w:trHeight w:val="57"/>
        </w:trPr>
        <w:tc>
          <w:tcPr>
            <w:tcW w:w="6912" w:type="dxa"/>
            <w:shd w:val="pct20" w:color="0000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NPM1 Mutation Status</w:t>
            </w:r>
          </w:p>
        </w:tc>
        <w:tc>
          <w:tcPr>
            <w:tcW w:w="2444" w:type="dxa"/>
            <w:shd w:val="pct20" w:color="0000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w:t>
            </w:r>
          </w:p>
        </w:tc>
      </w:tr>
      <w:tr w:rsidR="00E56818" w:rsidRPr="00AB4797" w:rsidTr="00A967C0">
        <w:trPr>
          <w:trHeight w:val="57"/>
        </w:trPr>
        <w:tc>
          <w:tcPr>
            <w:tcW w:w="6912" w:type="dxa"/>
            <w:shd w:val="pct25" w:color="FFFF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DNA extraction from venous blood</w:t>
            </w:r>
          </w:p>
        </w:tc>
        <w:tc>
          <w:tcPr>
            <w:tcW w:w="2444" w:type="dxa"/>
            <w:shd w:val="pct25" w:color="FFFF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GenQA</w:t>
            </w:r>
          </w:p>
        </w:tc>
      </w:tr>
      <w:tr w:rsidR="00E56818" w:rsidRPr="00AB4797" w:rsidTr="00A967C0">
        <w:trPr>
          <w:trHeight w:val="57"/>
        </w:trPr>
        <w:tc>
          <w:tcPr>
            <w:tcW w:w="6912" w:type="dxa"/>
            <w:shd w:val="pct20" w:color="000000" w:fill="FFFFFF"/>
          </w:tcPr>
          <w:p w:rsidR="00E56818" w:rsidRPr="00AB4797" w:rsidRDefault="00E56818" w:rsidP="00A967C0">
            <w:pPr>
              <w:pStyle w:val="BodyText3"/>
              <w:jc w:val="left"/>
              <w:rPr>
                <w:rFonts w:ascii="Arial" w:hAnsi="Arial"/>
                <w:b/>
                <w:bCs/>
                <w:sz w:val="22"/>
                <w:szCs w:val="22"/>
              </w:rPr>
            </w:pPr>
            <w:r w:rsidRPr="00AB4797">
              <w:rPr>
                <w:rFonts w:ascii="Arial" w:hAnsi="Arial"/>
                <w:b/>
                <w:bCs/>
                <w:sz w:val="22"/>
                <w:szCs w:val="22"/>
              </w:rPr>
              <w:t>Measurable Residual Disease for AML by Molecular Methods</w:t>
            </w:r>
          </w:p>
        </w:tc>
        <w:tc>
          <w:tcPr>
            <w:tcW w:w="2444" w:type="dxa"/>
            <w:shd w:val="pct20" w:color="000000" w:fill="FFFFFF"/>
          </w:tcPr>
          <w:p w:rsidR="00E56818" w:rsidRPr="00AB4797" w:rsidRDefault="00E56818" w:rsidP="00A967C0">
            <w:pPr>
              <w:pStyle w:val="BodyText3"/>
              <w:jc w:val="left"/>
              <w:rPr>
                <w:rFonts w:ascii="Arial" w:hAnsi="Arial"/>
                <w:b/>
                <w:sz w:val="22"/>
                <w:szCs w:val="22"/>
              </w:rPr>
            </w:pPr>
            <w:r w:rsidRPr="00AB4797">
              <w:rPr>
                <w:rFonts w:ascii="Arial" w:hAnsi="Arial"/>
                <w:b/>
                <w:sz w:val="22"/>
                <w:szCs w:val="22"/>
              </w:rPr>
              <w:t>NEQAS pilot scheme</w:t>
            </w:r>
          </w:p>
        </w:tc>
      </w:tr>
      <w:tr w:rsidR="00E56818" w:rsidRPr="00AB4797" w:rsidTr="00A967C0">
        <w:trPr>
          <w:trHeight w:val="57"/>
        </w:trPr>
        <w:tc>
          <w:tcPr>
            <w:tcW w:w="6912" w:type="dxa"/>
            <w:shd w:val="pct25" w:color="FFFF00" w:fill="FFFFFF"/>
          </w:tcPr>
          <w:p w:rsidR="00E56818" w:rsidRPr="00AB4797" w:rsidRDefault="00E56818" w:rsidP="00A967C0">
            <w:pPr>
              <w:pStyle w:val="BodyText3"/>
              <w:jc w:val="left"/>
              <w:rPr>
                <w:rFonts w:ascii="Arial" w:hAnsi="Arial"/>
                <w:b/>
                <w:bCs/>
                <w:sz w:val="22"/>
                <w:szCs w:val="22"/>
              </w:rPr>
            </w:pPr>
          </w:p>
        </w:tc>
        <w:tc>
          <w:tcPr>
            <w:tcW w:w="2444" w:type="dxa"/>
            <w:shd w:val="pct25" w:color="FFFF00" w:fill="FFFFFF"/>
          </w:tcPr>
          <w:p w:rsidR="00E56818" w:rsidRPr="00AB4797" w:rsidRDefault="00E56818" w:rsidP="00A967C0">
            <w:pPr>
              <w:pStyle w:val="BodyText3"/>
              <w:jc w:val="left"/>
              <w:rPr>
                <w:rFonts w:ascii="Arial" w:hAnsi="Arial"/>
                <w:sz w:val="22"/>
                <w:szCs w:val="22"/>
              </w:rPr>
            </w:pPr>
          </w:p>
        </w:tc>
      </w:tr>
    </w:tbl>
    <w:p w:rsidR="00E56818" w:rsidRPr="00406724" w:rsidRDefault="00E56818" w:rsidP="00E56818">
      <w:pPr>
        <w:rPr>
          <w:rFonts w:ascii="Arial" w:hAnsi="Arial"/>
        </w:rPr>
      </w:pPr>
      <w:r w:rsidRPr="00406724">
        <w:rPr>
          <w:rFonts w:ascii="Arial" w:hAnsi="Arial"/>
        </w:rPr>
        <w:br w:type="page"/>
      </w:r>
    </w:p>
    <w:p w:rsidR="00E56818" w:rsidRPr="00406724" w:rsidRDefault="00E56818" w:rsidP="00E56818">
      <w:pPr>
        <w:pStyle w:val="Heading1"/>
        <w:keepLines w:val="0"/>
        <w:widowControl w:val="0"/>
        <w:numPr>
          <w:ilvl w:val="0"/>
          <w:numId w:val="33"/>
        </w:numPr>
        <w:shd w:val="clear" w:color="auto" w:fill="D9D9D9"/>
        <w:tabs>
          <w:tab w:val="left" w:pos="-720"/>
        </w:tabs>
        <w:suppressAutoHyphens/>
        <w:overflowPunct w:val="0"/>
        <w:autoSpaceDE w:val="0"/>
        <w:autoSpaceDN w:val="0"/>
        <w:adjustRightInd w:val="0"/>
        <w:spacing w:before="0" w:after="0"/>
        <w:jc w:val="both"/>
        <w:textAlignment w:val="baseline"/>
        <w:rPr>
          <w:bCs/>
        </w:rPr>
      </w:pPr>
      <w:bookmarkStart w:id="42" w:name="_Additional_Information_on"/>
      <w:bookmarkStart w:id="43" w:name="_Toc114849234"/>
      <w:bookmarkEnd w:id="42"/>
      <w:r w:rsidRPr="00406724">
        <w:rPr>
          <w:bCs/>
        </w:rPr>
        <w:lastRenderedPageBreak/>
        <w:t>Additional Information on Molecular Investigations in LMH lab</w:t>
      </w:r>
      <w:bookmarkEnd w:id="43"/>
    </w:p>
    <w:p w:rsidR="00E56818" w:rsidRPr="00406724" w:rsidRDefault="00E56818" w:rsidP="00E56818">
      <w:pPr>
        <w:spacing w:after="0"/>
        <w:rPr>
          <w:rFonts w:ascii="Arial" w:hAnsi="Arial"/>
        </w:rPr>
      </w:pPr>
    </w:p>
    <w:p w:rsidR="00E56818" w:rsidRPr="002A4254"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44" w:name="_Toc114849235"/>
      <w:r w:rsidRPr="002A4254">
        <w:t>MPN panel testing</w:t>
      </w:r>
      <w:bookmarkEnd w:id="44"/>
    </w:p>
    <w:p w:rsidR="00E56818" w:rsidRPr="00E56818" w:rsidRDefault="00E56818" w:rsidP="00E56818">
      <w:pPr>
        <w:spacing w:after="0"/>
        <w:rPr>
          <w:rFonts w:ascii="Arial" w:hAnsi="Arial"/>
          <w:sz w:val="20"/>
          <w:szCs w:val="20"/>
        </w:rPr>
      </w:pPr>
      <w:r w:rsidRPr="00E56818">
        <w:rPr>
          <w:rFonts w:ascii="Arial" w:hAnsi="Arial"/>
          <w:sz w:val="20"/>
          <w:szCs w:val="20"/>
        </w:rPr>
        <w:t>Testing the MPN spectrum of diseases is now largely covered by a NSG “mini” panel. This panel uses targeted amplicon NSG to analyse the hotspots on the 3 candidate MPN genes JAK2, CALR and MPL. This assay is capable of detecting all common variants of JAK2, CALR and MPL and has a broader ranger for mutation detection than the single gene assays listed below. The assay also provides information on all 3 genes simultaneously rather than requiring sequential testing of candidate genes. The assay limit of detection is 2%</w:t>
      </w:r>
    </w:p>
    <w:p w:rsidR="00E56818" w:rsidRPr="00E56818" w:rsidRDefault="00E56818" w:rsidP="00E56818">
      <w:pPr>
        <w:spacing w:after="0"/>
        <w:rPr>
          <w:rFonts w:ascii="Arial" w:hAnsi="Arial"/>
        </w:rPr>
      </w:pP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pPr>
      <w:bookmarkStart w:id="45" w:name="_Toc114849236"/>
      <w:r w:rsidRPr="00E56818">
        <w:t>Single gene MPN mutation analysis</w:t>
      </w:r>
      <w:bookmarkEnd w:id="45"/>
    </w:p>
    <w:p w:rsidR="00E56818" w:rsidRPr="00E56818" w:rsidRDefault="00E56818" w:rsidP="00E56818">
      <w:pPr>
        <w:shd w:val="clear" w:color="auto" w:fill="FFFFFF"/>
        <w:spacing w:before="120" w:after="0"/>
        <w:rPr>
          <w:rFonts w:ascii="Arial" w:hAnsi="Arial"/>
          <w:sz w:val="20"/>
          <w:szCs w:val="20"/>
        </w:rPr>
      </w:pPr>
      <w:r w:rsidRPr="00E56818">
        <w:rPr>
          <w:rFonts w:ascii="Arial" w:hAnsi="Arial"/>
          <w:sz w:val="20"/>
          <w:szCs w:val="20"/>
        </w:rPr>
        <w:t xml:space="preserve">The LMH laboratory no longer provides single gene target analysis. The MPN mutation analysis service is delivered using an MPN NGS panel covering JAK2, CALR and MPL. JAK2 V617F quantitative PCR is still available for monitoring in special circumstances. JAK2 V617F mutations are detected using a quantitative real time PCR (Q-PCR) based assay in the LMH laboratory which has a sensitivity of around 0.2%. </w:t>
      </w:r>
    </w:p>
    <w:p w:rsidR="00E56818" w:rsidRPr="00E56818" w:rsidRDefault="00E56818" w:rsidP="00E56818">
      <w:pPr>
        <w:spacing w:after="0"/>
        <w:rPr>
          <w:rFonts w:ascii="Arial" w:hAnsi="Arial"/>
          <w:sz w:val="20"/>
          <w:szCs w:val="20"/>
        </w:rPr>
      </w:pPr>
    </w:p>
    <w:p w:rsidR="00E56818" w:rsidRPr="00E56818" w:rsidRDefault="00E56818" w:rsidP="00E56818">
      <w:pPr>
        <w:shd w:val="clear" w:color="auto" w:fill="FFFFFF"/>
        <w:spacing w:before="120" w:after="0"/>
        <w:rPr>
          <w:rFonts w:ascii="Arial" w:hAnsi="Arial"/>
          <w:sz w:val="20"/>
          <w:szCs w:val="20"/>
        </w:rPr>
      </w:pPr>
      <w:r w:rsidRPr="00E56818">
        <w:rPr>
          <w:rFonts w:ascii="Arial" w:hAnsi="Arial"/>
          <w:b/>
          <w:sz w:val="20"/>
          <w:szCs w:val="20"/>
        </w:rPr>
        <w:t>Factors affecting results or interpretation</w:t>
      </w:r>
      <w:r w:rsidRPr="00E56818">
        <w:rPr>
          <w:rFonts w:ascii="Arial" w:hAnsi="Arial"/>
          <w:sz w:val="20"/>
          <w:szCs w:val="20"/>
        </w:rPr>
        <w:t xml:space="preserve">: Samples received in heparin are not amenable to PCR based analysis and can therefore not be tested for JAK2 V617F or MPN NGS panel. Note there are rare mutations of both JAK2 and MPL occurring in other codons that are not detected using the MPN panel assay deployed by the LMH laboratory. The LMH laboratory plan to launch an enhanced myeloid gene panel which will cover the full length of these genes and can be used to detect these rare mutations as well where there is a very strong suspicion of an underlying MPN. Please enquire if this service is required. </w:t>
      </w:r>
    </w:p>
    <w:p w:rsidR="00E56818" w:rsidRPr="00E56818" w:rsidRDefault="00E56818" w:rsidP="00E56818">
      <w:pPr>
        <w:shd w:val="clear" w:color="auto" w:fill="FFFFFF"/>
        <w:spacing w:after="0"/>
        <w:rPr>
          <w:rFonts w:ascii="Arial" w:hAnsi="Arial"/>
        </w:rPr>
      </w:pP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rPr>
          <w:lang w:eastAsia="en-GB"/>
        </w:rPr>
      </w:pPr>
      <w:bookmarkStart w:id="46" w:name="_Toc114849237"/>
      <w:r w:rsidRPr="00E56818">
        <w:rPr>
          <w:lang w:eastAsia="en-GB"/>
        </w:rPr>
        <w:t>FLT3 &amp; NPM1 mutation analysis</w:t>
      </w:r>
      <w:bookmarkEnd w:id="46"/>
    </w:p>
    <w:p w:rsidR="00E56818" w:rsidRPr="00E56818" w:rsidRDefault="00E56818" w:rsidP="00E56818">
      <w:pPr>
        <w:spacing w:after="0"/>
        <w:rPr>
          <w:rFonts w:ascii="Arial" w:hAnsi="Arial"/>
          <w:lang w:eastAsia="en-GB"/>
        </w:rPr>
      </w:pPr>
    </w:p>
    <w:p w:rsidR="00E56818" w:rsidRPr="00E56818" w:rsidRDefault="00E56818" w:rsidP="00E56818">
      <w:pPr>
        <w:spacing w:before="120" w:after="0"/>
        <w:rPr>
          <w:rFonts w:ascii="Arial" w:hAnsi="Arial"/>
          <w:b/>
        </w:rPr>
      </w:pPr>
      <w:bookmarkStart w:id="47" w:name="_Toc318205300"/>
      <w:bookmarkStart w:id="48" w:name="_Toc324337005"/>
      <w:bookmarkStart w:id="49" w:name="_Toc43374335"/>
      <w:r w:rsidRPr="00E56818">
        <w:rPr>
          <w:rFonts w:ascii="Arial" w:hAnsi="Arial"/>
          <w:b/>
        </w:rPr>
        <w:t>Clinical Relevance / Purpose</w:t>
      </w:r>
      <w:bookmarkEnd w:id="47"/>
      <w:bookmarkEnd w:id="48"/>
      <w:bookmarkEnd w:id="49"/>
    </w:p>
    <w:p w:rsidR="00E56818" w:rsidRPr="00E56818" w:rsidRDefault="00E56818" w:rsidP="00E56818">
      <w:pPr>
        <w:spacing w:before="120"/>
        <w:rPr>
          <w:rFonts w:ascii="Arial" w:hAnsi="Arial"/>
          <w:sz w:val="20"/>
          <w:szCs w:val="20"/>
        </w:rPr>
      </w:pPr>
      <w:r w:rsidRPr="00E56818">
        <w:rPr>
          <w:rFonts w:ascii="Arial" w:hAnsi="Arial"/>
          <w:sz w:val="20"/>
          <w:szCs w:val="20"/>
        </w:rPr>
        <w:t xml:space="preserve">1. An internal tandem duplication in the fms-like tyrosine kinase 3 gene (FLT3/ITD) is a common finding in approximately 25% of younger adult AML patients in acute myeloid leukaemia (AML) (Small 2006). The length of the ITD varies between 3 and 400 bases and is always in frame and therefore expected to produce functional protein. </w:t>
      </w:r>
    </w:p>
    <w:p w:rsidR="00E56818" w:rsidRPr="00E56818" w:rsidRDefault="00E56818" w:rsidP="00E56818">
      <w:pPr>
        <w:spacing w:before="120"/>
        <w:rPr>
          <w:rFonts w:ascii="Arial" w:hAnsi="Arial"/>
          <w:sz w:val="20"/>
          <w:szCs w:val="20"/>
        </w:rPr>
      </w:pPr>
      <w:r w:rsidRPr="00E56818">
        <w:rPr>
          <w:rFonts w:ascii="Arial" w:hAnsi="Arial"/>
          <w:sz w:val="20"/>
          <w:szCs w:val="20"/>
        </w:rPr>
        <w:t xml:space="preserve">2. Point mutations that most frequently involve aspartic acid 835 of the tyrosine kinase domain (TKD) are the second major type of FLT3 mutations, seen in 8-12% of patients with AML (Small 2006).  FLT3-TKD point mutations, along with deletions and insertions, have also been found in several other sites (Patnaik MM 2018). </w:t>
      </w:r>
    </w:p>
    <w:p w:rsidR="00E56818" w:rsidRPr="00E56818" w:rsidRDefault="00E56818" w:rsidP="00E56818">
      <w:pPr>
        <w:spacing w:before="120"/>
        <w:rPr>
          <w:rFonts w:ascii="Arial" w:hAnsi="Arial"/>
          <w:sz w:val="20"/>
          <w:szCs w:val="20"/>
        </w:rPr>
      </w:pPr>
      <w:r w:rsidRPr="00E56818">
        <w:rPr>
          <w:rFonts w:ascii="Arial" w:hAnsi="Arial"/>
          <w:sz w:val="20"/>
          <w:szCs w:val="20"/>
        </w:rPr>
        <w:t xml:space="preserve">3. In vitro studies have shown that insertions lead to a constitutively activated receptor (Hayakawa F et al 2000). It is widely accepted that, in AML patients, FLT3-ITDs are associated with leucocytosis, a high percentage of bone marrow blast cells, increased risk of relapse from complete remission (CR) and reduced survival (Kottaridis PD et al 2003). FLT3-ITD is an uncommon mutation in MDS (3-6%) but its presence is linked with a high probability of MDS transforming to AML (Pinheiro RF et al 2008). </w:t>
      </w:r>
    </w:p>
    <w:p w:rsidR="00E56818" w:rsidRPr="00E56818" w:rsidRDefault="00E56818" w:rsidP="00E56818">
      <w:pPr>
        <w:spacing w:before="120"/>
        <w:rPr>
          <w:rFonts w:ascii="Arial" w:hAnsi="Arial"/>
          <w:sz w:val="20"/>
          <w:szCs w:val="20"/>
        </w:rPr>
      </w:pPr>
      <w:r w:rsidRPr="00E56818">
        <w:rPr>
          <w:rFonts w:ascii="Arial" w:hAnsi="Arial"/>
          <w:sz w:val="20"/>
          <w:szCs w:val="20"/>
        </w:rPr>
        <w:t>4. FLT3-TKD mutations often involve the activation loop, and thus also result in constitutive activation of the receptor’s tyrosine kinase activity (Small 2006). FLT3-TKD mutations have been associated with high percentages of peripheral blood and bone marrow blast cells, but the prognostic impact is still unclear. (Frohling S et al 2002).</w:t>
      </w:r>
    </w:p>
    <w:p w:rsidR="00E56818" w:rsidRPr="00E56818" w:rsidRDefault="00E56818" w:rsidP="00E56818">
      <w:pPr>
        <w:spacing w:before="120"/>
        <w:rPr>
          <w:rFonts w:ascii="Arial" w:hAnsi="Arial"/>
          <w:sz w:val="20"/>
          <w:szCs w:val="20"/>
        </w:rPr>
      </w:pPr>
      <w:r w:rsidRPr="00E56818">
        <w:rPr>
          <w:rFonts w:ascii="Arial" w:hAnsi="Arial"/>
          <w:sz w:val="20"/>
          <w:szCs w:val="20"/>
        </w:rPr>
        <w:t>5. The 2017 ELN recommendations include molecular testing for both FLT3-ITD and FLT3-TKD mutations, due to the emergence of FLT3 inhibitors, such as midostaurin, in treatment of patients with FLT3-mutated AML (Dohner H et al 2017).</w:t>
      </w:r>
    </w:p>
    <w:p w:rsidR="00E56818" w:rsidRPr="00E56818" w:rsidRDefault="00E56818" w:rsidP="00E56818">
      <w:pPr>
        <w:spacing w:before="120"/>
        <w:rPr>
          <w:rFonts w:ascii="Arial" w:hAnsi="Arial"/>
          <w:sz w:val="20"/>
          <w:szCs w:val="20"/>
        </w:rPr>
      </w:pPr>
      <w:r w:rsidRPr="00E56818">
        <w:rPr>
          <w:rFonts w:ascii="Arial" w:hAnsi="Arial"/>
          <w:sz w:val="20"/>
          <w:szCs w:val="20"/>
        </w:rPr>
        <w:t>6. Not all FLT3-ITD mutations are equal; the prognostic impact is influenced by the allele ratio (AR). AR is defined as the ratio of ITD-mutated alleles to wild-type allele (FLT3</w:t>
      </w:r>
      <w:r w:rsidRPr="00E56818">
        <w:rPr>
          <w:rFonts w:ascii="Cambria Math" w:hAnsi="Cambria Math" w:cs="Cambria Math"/>
          <w:sz w:val="20"/>
          <w:szCs w:val="20"/>
        </w:rPr>
        <w:t>‐</w:t>
      </w:r>
      <w:r w:rsidRPr="00E56818">
        <w:rPr>
          <w:rFonts w:ascii="Arial" w:hAnsi="Arial"/>
          <w:sz w:val="20"/>
          <w:szCs w:val="20"/>
        </w:rPr>
        <w:t xml:space="preserve">ITD/FLT3 wild-type). Variant allele frequency (VAF) is the ratio of ITD-mutated alleles to ITD-mutated + wild-type </w:t>
      </w:r>
      <w:r w:rsidRPr="00E56818">
        <w:rPr>
          <w:rFonts w:ascii="Arial" w:hAnsi="Arial"/>
          <w:sz w:val="20"/>
          <w:szCs w:val="20"/>
        </w:rPr>
        <w:lastRenderedPageBreak/>
        <w:t>alleles (FLT3</w:t>
      </w:r>
      <w:r w:rsidRPr="00E56818">
        <w:rPr>
          <w:rFonts w:ascii="Cambria Math" w:hAnsi="Cambria Math" w:cs="Cambria Math"/>
          <w:sz w:val="20"/>
          <w:szCs w:val="20"/>
        </w:rPr>
        <w:t>‐</w:t>
      </w:r>
      <w:r w:rsidRPr="00E56818">
        <w:rPr>
          <w:rFonts w:ascii="Arial" w:hAnsi="Arial"/>
          <w:sz w:val="20"/>
          <w:szCs w:val="20"/>
        </w:rPr>
        <w:t>ITD/FLT3</w:t>
      </w:r>
      <w:r w:rsidRPr="00E56818">
        <w:rPr>
          <w:rFonts w:ascii="Cambria Math" w:hAnsi="Cambria Math" w:cs="Cambria Math"/>
          <w:sz w:val="20"/>
          <w:szCs w:val="20"/>
        </w:rPr>
        <w:t>‐</w:t>
      </w:r>
      <w:r w:rsidRPr="00E56818">
        <w:rPr>
          <w:rFonts w:ascii="Arial" w:hAnsi="Arial"/>
          <w:sz w:val="20"/>
          <w:szCs w:val="20"/>
        </w:rPr>
        <w:t xml:space="preserve">ITD + FLT3 wild-type). In newly diagnosed AML FLT3-ITDmut after post-remission therapy with either consolidation (high-dose cytarabine-based) or allogeneic stem cell transplant, AR ≥0.51 were associated with an unfavourable Relapse free survival (RFS) and overall survival (OS). In fact, every quartile increase in FLT3-ITD AR (from 0.01 to 0.20, 0.20 to 0.53, 0.53 to 0.80, 0.80 to 1.19) was associated with worsening complete remission (CR) rates, RFS, and OS, highlighting the prognostic value of AR. The LMH FLT3ITD mutation assay incorporates an assessment of AR and this is reported on LMH FLT3ITD mutation assay reports. FLT3ITD AR is not reported on FLT mutation assessments from the NGS based myeloid gene panel assay reports as the AR reported from this methodology is liable to inaccuracies due to limitations of NGS based analysis of large insertions and deletions. </w:t>
      </w:r>
    </w:p>
    <w:p w:rsidR="00E56818" w:rsidRPr="00E56818" w:rsidRDefault="00E56818" w:rsidP="00E56818">
      <w:pPr>
        <w:spacing w:before="120"/>
        <w:rPr>
          <w:rFonts w:ascii="Arial" w:hAnsi="Arial"/>
          <w:sz w:val="20"/>
          <w:szCs w:val="20"/>
        </w:rPr>
      </w:pPr>
    </w:p>
    <w:p w:rsidR="00E56818" w:rsidRPr="00E56818" w:rsidRDefault="00E56818" w:rsidP="00E56818">
      <w:pPr>
        <w:spacing w:before="120"/>
        <w:rPr>
          <w:rFonts w:ascii="Arial" w:hAnsi="Arial"/>
          <w:sz w:val="20"/>
          <w:szCs w:val="20"/>
        </w:rPr>
      </w:pPr>
      <w:r w:rsidRPr="00E56818">
        <w:rPr>
          <w:rFonts w:ascii="Arial" w:hAnsi="Arial"/>
          <w:sz w:val="20"/>
          <w:szCs w:val="20"/>
        </w:rPr>
        <w:t>7. Mutations in exon 12 of the nucleophosmin (NPM) 1 gene have been reported in AML and MDS patients with normal karyotype. They take the form of a 4 bp insertion. Overall NPM1 mutations generally are associated with a trend for improved overall survival and significantly better event free or relapse-free survival, and in multivariate analysis they are an independent good prognostic factor for outcome (Schnittger S et al 2005)</w:t>
      </w:r>
    </w:p>
    <w:p w:rsidR="00E56818" w:rsidRPr="00E56818" w:rsidRDefault="00E56818" w:rsidP="00E56818">
      <w:pPr>
        <w:spacing w:before="120"/>
        <w:rPr>
          <w:rFonts w:ascii="Arial" w:hAnsi="Arial"/>
          <w:sz w:val="20"/>
          <w:szCs w:val="20"/>
        </w:rPr>
      </w:pPr>
      <w:r w:rsidRPr="00E56818">
        <w:rPr>
          <w:rFonts w:ascii="Arial" w:hAnsi="Arial"/>
          <w:sz w:val="20"/>
          <w:szCs w:val="20"/>
        </w:rPr>
        <w:t>8. The favourable outcome associated with NPM1 mutations is largely lost in the presence of a FLT3/ITD (Gale R et al 2008)</w:t>
      </w:r>
    </w:p>
    <w:p w:rsidR="00E56818" w:rsidRPr="00E56818" w:rsidRDefault="00E56818" w:rsidP="00E56818">
      <w:pPr>
        <w:spacing w:before="120"/>
        <w:rPr>
          <w:rFonts w:ascii="Arial" w:hAnsi="Arial"/>
          <w:b/>
          <w:sz w:val="20"/>
          <w:szCs w:val="20"/>
        </w:rPr>
      </w:pPr>
      <w:r w:rsidRPr="00E56818">
        <w:rPr>
          <w:rFonts w:ascii="Arial" w:hAnsi="Arial"/>
          <w:b/>
          <w:sz w:val="20"/>
          <w:szCs w:val="20"/>
        </w:rPr>
        <w:t xml:space="preserve">Principle </w:t>
      </w:r>
    </w:p>
    <w:p w:rsidR="00E56818" w:rsidRPr="00E56818" w:rsidRDefault="00E56818" w:rsidP="00E56818">
      <w:pPr>
        <w:spacing w:before="120"/>
        <w:rPr>
          <w:rFonts w:ascii="Arial" w:hAnsi="Arial"/>
          <w:sz w:val="20"/>
          <w:szCs w:val="20"/>
        </w:rPr>
      </w:pPr>
      <w:r w:rsidRPr="00E56818">
        <w:rPr>
          <w:rFonts w:ascii="Arial" w:hAnsi="Arial"/>
          <w:sz w:val="20"/>
          <w:szCs w:val="20"/>
        </w:rPr>
        <w:t xml:space="preserve">1. The principle of this assay is the discrimination of the wild type from the mutated DNA sequences based of the length of a PCR fragment generated by amplifying regions of the two genes which include the hotspot for insertion. Mutated genes give rise to larger PCR amplicons and wild type genes produce an amplicon of a predictable and stable size. </w:t>
      </w:r>
    </w:p>
    <w:p w:rsidR="00E56818" w:rsidRPr="00E56818" w:rsidRDefault="00E56818" w:rsidP="00E56818">
      <w:pPr>
        <w:spacing w:before="120"/>
        <w:rPr>
          <w:rFonts w:ascii="Arial" w:hAnsi="Arial"/>
          <w:sz w:val="20"/>
          <w:szCs w:val="20"/>
        </w:rPr>
      </w:pPr>
      <w:r w:rsidRPr="00E56818">
        <w:rPr>
          <w:rFonts w:ascii="Arial" w:hAnsi="Arial"/>
          <w:sz w:val="20"/>
          <w:szCs w:val="20"/>
        </w:rPr>
        <w:t xml:space="preserve">2. Two primers are used for each gene. The forward primer in each case is labelled with a fluorescent dye which is incorporated into the amplified PCR product and can later be detected on a capillary electrophoresis instrument during the sizing portion of the assay </w:t>
      </w:r>
    </w:p>
    <w:p w:rsidR="00E56818" w:rsidRPr="00E56818" w:rsidRDefault="00E56818" w:rsidP="00E56818">
      <w:pPr>
        <w:spacing w:before="120"/>
        <w:rPr>
          <w:rFonts w:ascii="Arial" w:hAnsi="Arial"/>
          <w:sz w:val="20"/>
          <w:szCs w:val="20"/>
        </w:rPr>
      </w:pPr>
      <w:r w:rsidRPr="00E56818">
        <w:rPr>
          <w:rFonts w:ascii="Arial" w:hAnsi="Arial"/>
          <w:sz w:val="20"/>
          <w:szCs w:val="20"/>
        </w:rPr>
        <w:t xml:space="preserve">3. To determine the FLT3 TKD mutation status the primers are positioned to target TKD mutations in the activating loop of the kinase domain. Wild type FLT3 gene includes an EcoRV restriction digest site. When nucleic acid substitution occurs, as with FLT3-TKD mutations, the restriction digest recognition site disappears. In order to identify the FLT3-TKD point mutation using fragment length analysis, an EcoRV digest is performed on PCR amplified target region of FLT3. One of the PCR primers contains an EcoRV restriction site, allowing both wild type and mutant genes to be digested with different digestion patterns. </w:t>
      </w:r>
    </w:p>
    <w:p w:rsidR="00E56818" w:rsidRPr="00E56818" w:rsidRDefault="00E56818" w:rsidP="00E56818">
      <w:pPr>
        <w:spacing w:before="120"/>
        <w:rPr>
          <w:rFonts w:ascii="Arial" w:hAnsi="Arial"/>
          <w:sz w:val="20"/>
          <w:szCs w:val="20"/>
        </w:rPr>
      </w:pPr>
      <w:r w:rsidRPr="00E56818">
        <w:rPr>
          <w:rFonts w:ascii="Arial" w:hAnsi="Arial"/>
          <w:sz w:val="20"/>
          <w:szCs w:val="20"/>
        </w:rPr>
        <w:t xml:space="preserve">4. The most recent version of the LMH FLT3 ITD assay is validated to be quantitative for allelic ratio. The ratio is quantified by dividing the FLT3 ITD peaks with the total FLT3 wt and FLT mutated peaks to derive an allelic ratio. </w:t>
      </w:r>
    </w:p>
    <w:p w:rsidR="00E56818" w:rsidRPr="00E56818" w:rsidRDefault="00E56818" w:rsidP="00E56818">
      <w:pPr>
        <w:spacing w:before="120"/>
        <w:rPr>
          <w:rFonts w:ascii="Arial" w:hAnsi="Arial"/>
          <w:b/>
          <w:sz w:val="20"/>
          <w:szCs w:val="20"/>
        </w:rPr>
      </w:pPr>
      <w:r w:rsidRPr="00E56818">
        <w:rPr>
          <w:rFonts w:ascii="Arial" w:hAnsi="Arial"/>
          <w:b/>
          <w:sz w:val="20"/>
          <w:szCs w:val="20"/>
        </w:rPr>
        <w:t xml:space="preserve">Please note the current FLT3 and NPM1 mutation assays are currently outside of the laboratories scope of UKAS accreditation. An extension to scope application has been submitted to UKAS and is pending assessment. </w:t>
      </w:r>
    </w:p>
    <w:p w:rsidR="00E56818" w:rsidRPr="002A4254" w:rsidRDefault="00E56818" w:rsidP="00E56818">
      <w:pPr>
        <w:spacing w:before="120" w:after="0"/>
        <w:rPr>
          <w:b/>
        </w:rPr>
      </w:pPr>
    </w:p>
    <w:p w:rsidR="00E56818" w:rsidRPr="002A4254" w:rsidRDefault="00E56818" w:rsidP="00E56818">
      <w:pPr>
        <w:pStyle w:val="Heading2"/>
        <w:widowControl w:val="0"/>
        <w:numPr>
          <w:ilvl w:val="1"/>
          <w:numId w:val="33"/>
        </w:numPr>
        <w:overflowPunct w:val="0"/>
        <w:autoSpaceDE w:val="0"/>
        <w:autoSpaceDN w:val="0"/>
        <w:adjustRightInd w:val="0"/>
        <w:spacing w:before="0" w:after="0"/>
        <w:textAlignment w:val="baseline"/>
        <w:rPr>
          <w:lang w:eastAsia="en-GB"/>
        </w:rPr>
      </w:pPr>
      <w:bookmarkStart w:id="50" w:name="_Toc114849238"/>
      <w:r w:rsidRPr="002A4254">
        <w:rPr>
          <w:lang w:eastAsia="en-GB"/>
        </w:rPr>
        <w:t>Myeloid Gene Panel</w:t>
      </w:r>
      <w:r>
        <w:rPr>
          <w:lang w:eastAsia="en-GB"/>
        </w:rPr>
        <w:t xml:space="preserve"> and Lymphoid gene panel</w:t>
      </w:r>
      <w:bookmarkEnd w:id="50"/>
      <w:r>
        <w:rPr>
          <w:lang w:eastAsia="en-GB"/>
        </w:rPr>
        <w:t xml:space="preserve"> </w:t>
      </w:r>
    </w:p>
    <w:p w:rsidR="00E56818" w:rsidRPr="00E56818" w:rsidRDefault="00E56818" w:rsidP="00E56818">
      <w:pPr>
        <w:spacing w:before="120"/>
        <w:rPr>
          <w:rFonts w:ascii="Arial" w:hAnsi="Arial"/>
          <w:sz w:val="20"/>
          <w:szCs w:val="20"/>
        </w:rPr>
      </w:pPr>
      <w:r w:rsidRPr="00E56818">
        <w:rPr>
          <w:rFonts w:ascii="Arial" w:hAnsi="Arial"/>
          <w:sz w:val="20"/>
          <w:szCs w:val="20"/>
        </w:rPr>
        <w:t>These tests use Next-Generation Sequencing (NGS) technology to identify somatic mutations in haematological malignancies</w:t>
      </w:r>
      <w:r w:rsidRPr="00E56818">
        <w:rPr>
          <w:rFonts w:ascii="Arial" w:hAnsi="Arial"/>
          <w:bCs/>
          <w:sz w:val="20"/>
          <w:szCs w:val="20"/>
        </w:rPr>
        <w:t xml:space="preserve"> for patient diagnosis and/or prognosis</w:t>
      </w:r>
      <w:r w:rsidRPr="00E56818">
        <w:rPr>
          <w:rFonts w:ascii="Arial" w:hAnsi="Arial"/>
          <w:sz w:val="20"/>
          <w:szCs w:val="20"/>
        </w:rPr>
        <w:t xml:space="preserve">. The panels are designed to sequence genes or gene sub-regions (hot spots) that are frequently mutated in Acute Myeloid Leukaemia (AML), Myelodysplastic syndrome (MDS) and Myeloproliferative neoplasms (MPN) and wide range of lymphoid malignancies. The panels provide a comprehensive assessment of the key genes involved in these malignancies in a single test. The content of the two panels meet the requirements of the NHSE national test directory for single nucleotide variants. </w:t>
      </w:r>
      <w:r w:rsidRPr="00E56818">
        <w:rPr>
          <w:rFonts w:ascii="Arial" w:hAnsi="Arial"/>
          <w:bCs/>
          <w:sz w:val="20"/>
          <w:szCs w:val="20"/>
        </w:rPr>
        <w:t xml:space="preserve"> The panel is not designed for MRD monitoring as the limit of detection is set at 5% variant allele frequency.</w:t>
      </w:r>
    </w:p>
    <w:p w:rsidR="00E56818" w:rsidRPr="00E56818" w:rsidRDefault="00E56818" w:rsidP="00E56818">
      <w:pPr>
        <w:rPr>
          <w:rFonts w:ascii="Arial" w:hAnsi="Arial"/>
          <w:sz w:val="20"/>
          <w:szCs w:val="20"/>
        </w:rPr>
      </w:pPr>
      <w:r w:rsidRPr="00E56818">
        <w:rPr>
          <w:rFonts w:ascii="Arial" w:hAnsi="Arial"/>
          <w:sz w:val="20"/>
          <w:szCs w:val="20"/>
        </w:rPr>
        <w:t xml:space="preserve">Sample requirements: </w:t>
      </w:r>
      <w:r w:rsidRPr="00E56818">
        <w:rPr>
          <w:rFonts w:ascii="Arial" w:hAnsi="Arial"/>
          <w:bCs/>
          <w:sz w:val="20"/>
          <w:szCs w:val="20"/>
        </w:rPr>
        <w:t xml:space="preserve">this method is designed to detect somatic and inherited mutations in clinically relevant sample, for example peripheral blood, bone marrow </w:t>
      </w:r>
      <w:r w:rsidRPr="00E56818">
        <w:rPr>
          <w:rFonts w:ascii="Arial" w:hAnsi="Arial"/>
          <w:sz w:val="20"/>
          <w:szCs w:val="20"/>
        </w:rPr>
        <w:t xml:space="preserve">and blood films can be </w:t>
      </w:r>
      <w:r w:rsidRPr="00E56818">
        <w:rPr>
          <w:rFonts w:ascii="Arial" w:hAnsi="Arial"/>
          <w:sz w:val="20"/>
          <w:szCs w:val="20"/>
        </w:rPr>
        <w:lastRenderedPageBreak/>
        <w:t>used. Fresh samples should be provided in EDTA or Heparin. The use of DNA from fixed cells is also validated. If DNA is provided from an external user, the DNA should be between 10-50 ng/µl. It is possible to use less than 10ng/µl, but this is not recommended, as gene coverage will be compromised and variants may be missed.</w:t>
      </w:r>
    </w:p>
    <w:p w:rsidR="00E56818" w:rsidRPr="00E56818" w:rsidRDefault="00E56818" w:rsidP="00E56818">
      <w:pPr>
        <w:spacing w:before="120"/>
        <w:rPr>
          <w:rFonts w:ascii="Arial" w:hAnsi="Arial"/>
          <w:sz w:val="20"/>
          <w:szCs w:val="20"/>
        </w:rPr>
      </w:pPr>
      <w:r w:rsidRPr="00E56818">
        <w:rPr>
          <w:rFonts w:ascii="Arial" w:hAnsi="Arial"/>
          <w:bCs/>
          <w:sz w:val="20"/>
          <w:szCs w:val="20"/>
        </w:rPr>
        <w:t xml:space="preserve">Methods and validation: we use the QiaSeq Custom DNA Amplicon methodology from Qiagen. This involves DNA fragmentation, ligation of indexing and sequencing adapters, target enrichment and PCR amplification. Libraries are sequencing on an Illumina NextSeq 550 instrument. The library preparation may be performed manually or using a Hamilton Microlab Star liquid handling system. </w:t>
      </w:r>
      <w:r w:rsidRPr="00E56818">
        <w:rPr>
          <w:rFonts w:ascii="Arial" w:hAnsi="Arial"/>
          <w:sz w:val="20"/>
          <w:szCs w:val="20"/>
        </w:rPr>
        <w:t>The reaction chemistry uses Unique Molecular Indices (UMIs) to reduce background artefacts. QIAseq Targeted DNA Panels have also been optimized in combination with a specially formulated enrichment chemistry to achieve highly efficient enrichment on both regular and GC-rich regions at high multiplex levels. In-house data analysis is performed using our validated bioinformatics pipeline (Snappy) and variant calling and analysis software (SQVD and VASA).</w:t>
      </w:r>
    </w:p>
    <w:p w:rsidR="00E56818" w:rsidRPr="00E56818" w:rsidRDefault="00E56818" w:rsidP="00E56818">
      <w:pPr>
        <w:rPr>
          <w:rFonts w:ascii="Arial" w:hAnsi="Arial"/>
          <w:sz w:val="20"/>
          <w:szCs w:val="20"/>
        </w:rPr>
      </w:pPr>
      <w:r w:rsidRPr="00E56818">
        <w:rPr>
          <w:rFonts w:ascii="Arial" w:hAnsi="Arial"/>
          <w:sz w:val="20"/>
          <w:szCs w:val="20"/>
        </w:rPr>
        <w:t>Factors affecting results or interpretation: This method has undergone thorough validation and an extension to scope is in preparation under our existing UKAS ISO15189 accreditation. The sensitivity of the technology is limited to 5% variant allele frequency if target coverage is &gt;400x. If coverage is between 200-400x, limit of detection is 10%. This panel is ideally suited to the detected of SNVs and small insertion/deletions. Insertions of more than 100bp may not be detected, as is the case for large FLT3-ITDs. This assay is not suitable for monitoring patients post treatment, including post transplantation, unless relapse is suspected.</w:t>
      </w:r>
    </w:p>
    <w:p w:rsidR="00E56818" w:rsidRDefault="00E56818" w:rsidP="00E56818">
      <w:pPr>
        <w:spacing w:before="120" w:after="0"/>
        <w:rPr>
          <w:rFonts w:ascii="Arial" w:hAnsi="Arial"/>
        </w:rPr>
      </w:pPr>
    </w:p>
    <w:p w:rsidR="00E56818" w:rsidRPr="002A4254" w:rsidRDefault="00E56818" w:rsidP="00E56818">
      <w:pPr>
        <w:spacing w:before="120" w:after="0"/>
        <w:rPr>
          <w:b/>
          <w:sz w:val="20"/>
          <w:szCs w:val="20"/>
        </w:rPr>
      </w:pPr>
      <w:r w:rsidRPr="002A4254">
        <w:rPr>
          <w:b/>
          <w:sz w:val="20"/>
          <w:szCs w:val="20"/>
        </w:rPr>
        <w:t xml:space="preserve">The MGP targets are as follows: </w:t>
      </w:r>
    </w:p>
    <w:tbl>
      <w:tblPr>
        <w:tblW w:w="0" w:type="auto"/>
        <w:tblBorders>
          <w:top w:val="single" w:sz="12" w:space="0" w:color="008000"/>
          <w:left w:val="single" w:sz="6" w:space="0" w:color="008000"/>
          <w:bottom w:val="single" w:sz="12" w:space="0" w:color="008000"/>
          <w:right w:val="single" w:sz="6" w:space="0" w:color="008000"/>
          <w:insideH w:val="single" w:sz="6" w:space="0" w:color="000000"/>
        </w:tblBorders>
        <w:tblLayout w:type="fixed"/>
        <w:tblLook w:val="04A0" w:firstRow="1" w:lastRow="0" w:firstColumn="1" w:lastColumn="0" w:noHBand="0" w:noVBand="1"/>
      </w:tblPr>
      <w:tblGrid>
        <w:gridCol w:w="1384"/>
        <w:gridCol w:w="884"/>
        <w:gridCol w:w="1101"/>
        <w:gridCol w:w="1498"/>
      </w:tblGrid>
      <w:tr w:rsidR="00E56818" w:rsidRPr="007E5350" w:rsidTr="00A967C0">
        <w:trPr>
          <w:trHeight w:val="170"/>
        </w:trPr>
        <w:tc>
          <w:tcPr>
            <w:tcW w:w="1384" w:type="dxa"/>
            <w:tcBorders>
              <w:bottom w:val="single" w:sz="12" w:space="0" w:color="008000"/>
            </w:tcBorders>
            <w:shd w:val="solid" w:color="C0C0C0" w:fill="FFFFFF"/>
            <w:noWrap/>
          </w:tcPr>
          <w:p w:rsidR="00E56818" w:rsidRPr="005A07E2" w:rsidRDefault="00E56818" w:rsidP="00A967C0">
            <w:pPr>
              <w:spacing w:line="276" w:lineRule="auto"/>
              <w:rPr>
                <w:rFonts w:ascii="Arial" w:hAnsi="Arial"/>
                <w:b/>
                <w:bCs/>
                <w:sz w:val="18"/>
                <w:szCs w:val="18"/>
              </w:rPr>
            </w:pPr>
            <w:bookmarkStart w:id="51" w:name="_Hlk44056528"/>
            <w:r w:rsidRPr="005A07E2">
              <w:rPr>
                <w:rFonts w:ascii="Arial" w:hAnsi="Arial"/>
                <w:b/>
                <w:bCs/>
                <w:sz w:val="18"/>
                <w:szCs w:val="18"/>
              </w:rPr>
              <w:t>Gene</w:t>
            </w:r>
          </w:p>
        </w:tc>
        <w:tc>
          <w:tcPr>
            <w:tcW w:w="884" w:type="dxa"/>
            <w:tcBorders>
              <w:bottom w:val="single" w:sz="12" w:space="0" w:color="008000"/>
            </w:tcBorders>
            <w:shd w:val="solid" w:color="C0C0C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Chr</w:t>
            </w:r>
          </w:p>
        </w:tc>
        <w:tc>
          <w:tcPr>
            <w:tcW w:w="1101" w:type="dxa"/>
            <w:tcBorders>
              <w:bottom w:val="single" w:sz="12" w:space="0" w:color="008000"/>
            </w:tcBorders>
            <w:shd w:val="solid" w:color="C0C0C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Targets</w:t>
            </w:r>
          </w:p>
        </w:tc>
        <w:tc>
          <w:tcPr>
            <w:tcW w:w="1498" w:type="dxa"/>
            <w:tcBorders>
              <w:bottom w:val="single" w:sz="12" w:space="0" w:color="008000"/>
            </w:tcBorders>
            <w:shd w:val="solid" w:color="C0C0C0" w:fill="FFFFFF"/>
            <w:noWrap/>
          </w:tcPr>
          <w:p w:rsidR="00E56818" w:rsidRPr="005A07E2" w:rsidRDefault="00E56818" w:rsidP="00A967C0">
            <w:pPr>
              <w:rPr>
                <w:rFonts w:ascii="Arial" w:hAnsi="Arial"/>
                <w:b/>
                <w:bCs/>
                <w:sz w:val="18"/>
                <w:szCs w:val="18"/>
              </w:rPr>
            </w:pPr>
            <w:r w:rsidRPr="005A07E2">
              <w:rPr>
                <w:rFonts w:ascii="Arial" w:hAnsi="Arial"/>
                <w:b/>
                <w:bCs/>
                <w:sz w:val="18"/>
                <w:szCs w:val="18"/>
              </w:rPr>
              <w:t>Transcript</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ANKRD26</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chr10</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NM_014915</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ASXL1</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chr20</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12</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NM_015338</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BCOR</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chrX</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NM_001123385</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CALR</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chr19</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9</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NM_004343</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CBL</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chr11</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7 + 8 + 9</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NM_005188</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CEBPA</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chr19</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NM_004364</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CHEK2</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chr22</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NM_001005735</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CSF3R</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13 - 18</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NM_156039</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CUX1</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chr7</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NM_181552</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DDX41</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chr5</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NM_016222</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DNMT3A</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chr2</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NM_022552</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ETV6</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chr12</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NM_001987</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EZH2</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chr7</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NM_004456</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FLT3</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chr13</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14 + 15 + 20</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NM_004119</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GATA1</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chrX</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NM_002049</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GATA2</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chr3</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NM_032638</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HRAS</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chr11</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2 + 3</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NM_001130442</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IDH1</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chr2</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4</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NM_005896</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IDH2</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chr15</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4</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NM_002168</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lastRenderedPageBreak/>
              <w:t>IKZF1</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chr7</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NM_006060</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JAK2</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chr9</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12 + 14</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NM_004972</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KIT</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chr4</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2, 8-11, 13 + 17</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NM_000222</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KMT2A</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chr11</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NM_001197104</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KRAS</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chr12</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2 + 3</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NM_033360</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MPL</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10</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NM_005373</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NF1</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chr17</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NM_001042492</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NFE2</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chr12</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NM_001136023</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NPM1</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chr5</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12</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NM_002520</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NRAS</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2 + 3</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NM_002524</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PHF6</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chrX</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NM_032458</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PPM1D</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chr17</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NM_003620</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PTPN11</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chr12</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3 + 13</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NM_002834</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RAD21</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chr8</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NM_006265</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RUNX1</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chr21</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NM_001754</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SETBP1</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chr18</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4</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NM_015559</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SF3B1</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chr2</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12 - 16</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NM_012433</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SH2B3</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chr12</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NM_005475</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SRSF2</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chr17</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1</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NM_003016</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STAG2</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chrX</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NM_001042749</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TET2</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chr4</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NM_001127208</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TP53</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chr17</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NM_000546</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U2AF1</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chr21</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2 + 6</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NM_006758</w:t>
            </w:r>
          </w:p>
        </w:tc>
      </w:tr>
      <w:tr w:rsidR="00E56818" w:rsidRPr="007E5350" w:rsidTr="00A967C0">
        <w:trPr>
          <w:trHeight w:val="170"/>
        </w:trPr>
        <w:tc>
          <w:tcPr>
            <w:tcW w:w="1384" w:type="dxa"/>
            <w:shd w:val="pct20" w:color="0000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WT1</w:t>
            </w:r>
          </w:p>
        </w:tc>
        <w:tc>
          <w:tcPr>
            <w:tcW w:w="884"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chr11</w:t>
            </w:r>
          </w:p>
        </w:tc>
        <w:tc>
          <w:tcPr>
            <w:tcW w:w="1101" w:type="dxa"/>
            <w:shd w:val="pct20" w:color="0000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7 + 9</w:t>
            </w:r>
          </w:p>
        </w:tc>
        <w:tc>
          <w:tcPr>
            <w:tcW w:w="1498" w:type="dxa"/>
            <w:shd w:val="pct20" w:color="000000" w:fill="FFFFFF"/>
            <w:noWrap/>
          </w:tcPr>
          <w:p w:rsidR="00E56818" w:rsidRPr="005A07E2" w:rsidRDefault="00E56818" w:rsidP="00A967C0">
            <w:pPr>
              <w:rPr>
                <w:rFonts w:ascii="Arial" w:hAnsi="Arial"/>
                <w:sz w:val="18"/>
                <w:szCs w:val="18"/>
              </w:rPr>
            </w:pPr>
            <w:r w:rsidRPr="005A07E2">
              <w:rPr>
                <w:rFonts w:ascii="Arial" w:hAnsi="Arial"/>
                <w:sz w:val="18"/>
                <w:szCs w:val="18"/>
              </w:rPr>
              <w:t>NM_024426</w:t>
            </w:r>
          </w:p>
        </w:tc>
      </w:tr>
      <w:tr w:rsidR="00E56818" w:rsidRPr="007E5350" w:rsidTr="00A967C0">
        <w:trPr>
          <w:trHeight w:val="170"/>
        </w:trPr>
        <w:tc>
          <w:tcPr>
            <w:tcW w:w="1384" w:type="dxa"/>
            <w:shd w:val="pct25" w:color="FFFF00" w:fill="FFFFFF"/>
            <w:noWrap/>
          </w:tcPr>
          <w:p w:rsidR="00E56818" w:rsidRPr="005A07E2" w:rsidRDefault="00E56818" w:rsidP="00A967C0">
            <w:pPr>
              <w:spacing w:line="276" w:lineRule="auto"/>
              <w:rPr>
                <w:rFonts w:ascii="Arial" w:hAnsi="Arial"/>
                <w:b/>
                <w:bCs/>
                <w:sz w:val="18"/>
                <w:szCs w:val="18"/>
              </w:rPr>
            </w:pPr>
            <w:r w:rsidRPr="005A07E2">
              <w:rPr>
                <w:rFonts w:ascii="Arial" w:hAnsi="Arial"/>
                <w:b/>
                <w:bCs/>
                <w:sz w:val="18"/>
                <w:szCs w:val="18"/>
              </w:rPr>
              <w:t>ZRSR2</w:t>
            </w:r>
          </w:p>
        </w:tc>
        <w:tc>
          <w:tcPr>
            <w:tcW w:w="884"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chrX</w:t>
            </w:r>
          </w:p>
        </w:tc>
        <w:tc>
          <w:tcPr>
            <w:tcW w:w="1101" w:type="dxa"/>
            <w:shd w:val="pct25" w:color="FFFF00" w:fill="FFFFFF"/>
            <w:noWrap/>
          </w:tcPr>
          <w:p w:rsidR="00E56818" w:rsidRPr="005A07E2" w:rsidRDefault="00E56818" w:rsidP="00A967C0">
            <w:pPr>
              <w:spacing w:line="276" w:lineRule="auto"/>
              <w:rPr>
                <w:rFonts w:ascii="Arial" w:hAnsi="Arial"/>
                <w:bCs/>
                <w:sz w:val="18"/>
                <w:szCs w:val="18"/>
              </w:rPr>
            </w:pPr>
            <w:r w:rsidRPr="005A07E2">
              <w:rPr>
                <w:rFonts w:ascii="Arial" w:hAnsi="Arial"/>
                <w:bCs/>
                <w:sz w:val="18"/>
                <w:szCs w:val="18"/>
              </w:rPr>
              <w:t>all coding</w:t>
            </w:r>
          </w:p>
        </w:tc>
        <w:tc>
          <w:tcPr>
            <w:tcW w:w="1498" w:type="dxa"/>
            <w:shd w:val="pct25" w:color="FFFF00" w:fill="FFFFFF"/>
            <w:noWrap/>
          </w:tcPr>
          <w:p w:rsidR="00E56818" w:rsidRPr="005A07E2" w:rsidRDefault="00E56818" w:rsidP="00A967C0">
            <w:pPr>
              <w:rPr>
                <w:rFonts w:ascii="Arial" w:hAnsi="Arial"/>
                <w:sz w:val="18"/>
                <w:szCs w:val="18"/>
              </w:rPr>
            </w:pPr>
            <w:r w:rsidRPr="005A07E2">
              <w:rPr>
                <w:rFonts w:ascii="Arial" w:hAnsi="Arial"/>
                <w:sz w:val="18"/>
                <w:szCs w:val="18"/>
              </w:rPr>
              <w:t>NM_005089</w:t>
            </w:r>
          </w:p>
        </w:tc>
      </w:tr>
      <w:bookmarkEnd w:id="51"/>
    </w:tbl>
    <w:p w:rsidR="00E56818" w:rsidRDefault="00E56818" w:rsidP="00E56818">
      <w:pPr>
        <w:spacing w:after="0"/>
        <w:rPr>
          <w:rFonts w:ascii="Arial" w:hAnsi="Arial"/>
        </w:rPr>
      </w:pPr>
    </w:p>
    <w:p w:rsidR="00E56818" w:rsidRDefault="00E56818" w:rsidP="00E56818">
      <w:pPr>
        <w:spacing w:after="0"/>
        <w:rPr>
          <w:rFonts w:ascii="Arial" w:hAnsi="Arial"/>
        </w:rPr>
      </w:pPr>
    </w:p>
    <w:p w:rsidR="00E56818" w:rsidRDefault="00E56818" w:rsidP="00E56818">
      <w:pPr>
        <w:spacing w:after="0"/>
        <w:rPr>
          <w:rFonts w:ascii="Arial" w:hAnsi="Arial"/>
        </w:rPr>
      </w:pPr>
    </w:p>
    <w:p w:rsidR="00E56818" w:rsidRDefault="00E56818" w:rsidP="00E56818">
      <w:pPr>
        <w:spacing w:after="0"/>
        <w:rPr>
          <w:rFonts w:ascii="Arial" w:hAnsi="Arial"/>
        </w:rPr>
      </w:pPr>
    </w:p>
    <w:p w:rsidR="00B61456" w:rsidRDefault="00B61456">
      <w:pPr>
        <w:spacing w:after="0"/>
        <w:jc w:val="left"/>
        <w:rPr>
          <w:b/>
          <w:sz w:val="20"/>
          <w:szCs w:val="20"/>
        </w:rPr>
      </w:pPr>
      <w:r>
        <w:rPr>
          <w:b/>
          <w:sz w:val="20"/>
          <w:szCs w:val="20"/>
        </w:rPr>
        <w:br w:type="page"/>
      </w:r>
    </w:p>
    <w:p w:rsidR="00E56818" w:rsidRPr="002A4254" w:rsidRDefault="00E56818" w:rsidP="00E56818">
      <w:pPr>
        <w:spacing w:before="120" w:after="0"/>
        <w:rPr>
          <w:b/>
          <w:sz w:val="20"/>
          <w:szCs w:val="20"/>
        </w:rPr>
      </w:pPr>
      <w:r>
        <w:rPr>
          <w:b/>
          <w:sz w:val="20"/>
          <w:szCs w:val="20"/>
        </w:rPr>
        <w:lastRenderedPageBreak/>
        <w:t>The L</w:t>
      </w:r>
      <w:r w:rsidRPr="002A4254">
        <w:rPr>
          <w:b/>
          <w:sz w:val="20"/>
          <w:szCs w:val="20"/>
        </w:rPr>
        <w:t xml:space="preserve">GP targets are as follows: </w:t>
      </w:r>
    </w:p>
    <w:tbl>
      <w:tblPr>
        <w:tblW w:w="0" w:type="auto"/>
        <w:tblBorders>
          <w:top w:val="single" w:sz="12" w:space="0" w:color="008000"/>
          <w:left w:val="single" w:sz="6" w:space="0" w:color="008000"/>
          <w:bottom w:val="single" w:sz="12" w:space="0" w:color="008000"/>
          <w:right w:val="single" w:sz="6" w:space="0" w:color="008000"/>
          <w:insideH w:val="single" w:sz="6" w:space="0" w:color="000000"/>
        </w:tblBorders>
        <w:tblLook w:val="04A0" w:firstRow="1" w:lastRow="0" w:firstColumn="1" w:lastColumn="0" w:noHBand="0" w:noVBand="1"/>
      </w:tblPr>
      <w:tblGrid>
        <w:gridCol w:w="1455"/>
        <w:gridCol w:w="739"/>
        <w:gridCol w:w="992"/>
        <w:gridCol w:w="1720"/>
      </w:tblGrid>
      <w:tr w:rsidR="00E56818" w:rsidRPr="004F6480" w:rsidTr="00A967C0">
        <w:trPr>
          <w:trHeight w:val="288"/>
        </w:trPr>
        <w:tc>
          <w:tcPr>
            <w:tcW w:w="1455" w:type="dxa"/>
            <w:tcBorders>
              <w:bottom w:val="single" w:sz="12" w:space="0" w:color="008000"/>
            </w:tcBorders>
            <w:shd w:val="solid" w:color="C0C0C0" w:fill="FFFFFF"/>
            <w:noWrap/>
            <w:hideMark/>
          </w:tcPr>
          <w:p w:rsidR="00E56818" w:rsidRPr="004F6480" w:rsidRDefault="00E56818" w:rsidP="00A967C0">
            <w:pPr>
              <w:spacing w:after="0" w:line="480" w:lineRule="auto"/>
              <w:ind w:right="687"/>
              <w:rPr>
                <w:rFonts w:ascii="Arial" w:hAnsi="Arial"/>
                <w:b/>
                <w:bCs/>
                <w:sz w:val="18"/>
                <w:szCs w:val="18"/>
              </w:rPr>
            </w:pPr>
            <w:r w:rsidRPr="004F6480">
              <w:rPr>
                <w:rFonts w:ascii="Arial" w:hAnsi="Arial"/>
                <w:b/>
                <w:bCs/>
                <w:sz w:val="18"/>
                <w:szCs w:val="18"/>
              </w:rPr>
              <w:t>Gene</w:t>
            </w:r>
          </w:p>
        </w:tc>
        <w:tc>
          <w:tcPr>
            <w:tcW w:w="739" w:type="dxa"/>
            <w:tcBorders>
              <w:bottom w:val="single" w:sz="12" w:space="0" w:color="008000"/>
            </w:tcBorders>
            <w:shd w:val="solid" w:color="C0C0C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Chr</w:t>
            </w:r>
          </w:p>
        </w:tc>
        <w:tc>
          <w:tcPr>
            <w:tcW w:w="992" w:type="dxa"/>
            <w:tcBorders>
              <w:bottom w:val="single" w:sz="12" w:space="0" w:color="008000"/>
            </w:tcBorders>
            <w:shd w:val="solid" w:color="C0C0C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Targets</w:t>
            </w:r>
          </w:p>
        </w:tc>
        <w:tc>
          <w:tcPr>
            <w:tcW w:w="1720" w:type="dxa"/>
            <w:tcBorders>
              <w:bottom w:val="single" w:sz="12" w:space="0" w:color="008000"/>
            </w:tcBorders>
            <w:shd w:val="solid" w:color="C0C0C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Transcript</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ind w:right="739"/>
              <w:rPr>
                <w:rFonts w:ascii="Arial" w:hAnsi="Arial"/>
                <w:b/>
                <w:bCs/>
                <w:sz w:val="18"/>
                <w:szCs w:val="18"/>
              </w:rPr>
            </w:pPr>
            <w:r w:rsidRPr="004F6480">
              <w:rPr>
                <w:rFonts w:ascii="Arial" w:hAnsi="Arial"/>
                <w:b/>
                <w:bCs/>
                <w:sz w:val="18"/>
                <w:szCs w:val="18"/>
              </w:rPr>
              <w:t>ARAF</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chrX</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NM_001654.5</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ARID1A</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NM_006015.6</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BRAF</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chr7</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exon 15</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NM_004333.6</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BTK</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chrX</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NM_000061.3</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CARD11</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chr7</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NM_032415.6</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CREBBP</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chr16</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NM_004380.3</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CXCR4</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chr2</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NM_003467.3</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DIS3</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chr13</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NM_014953.5</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DNMT3A</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chr2</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NM_022552.5</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EP300</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chr22</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NM_001429.4</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ERBB3</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chr12</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NM_001982.4</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ETV6</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chr12</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NM_001987.5</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EZH2</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chr7</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NM_004456.5</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TENT5C</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NM_017709.4</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FBXW7</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chr4</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NM_001349798.2</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FOXO1</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chr13</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NM_002015.4</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HRAS</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chr11</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2 + 3</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NM_005343.4</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IDH2</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chr15</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exon 4</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NM_002168.4</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IRF4</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chr6</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NM_002460.4</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KRAS</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chr12</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2 + 3</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NM_033360.4</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MAP2K1</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chr15</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NM_002755.4</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MAP3K1</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chr5</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NM_005921.2</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MEF2B</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chr19</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NM_001145785.2</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MYD88</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chr3</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exons 3 + 4 + 5</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NM_002468.5</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NOTCH1</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chr9</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exon 34</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NM_017617.5</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NRAS</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2 + 3</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NM_002524.5</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PIK3CA</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chr3</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NM_006218.4</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PIK3CD</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9</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NM_005026.5</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lastRenderedPageBreak/>
              <w:t>PLCG2</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chr16</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NM_002661.5</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RHOA</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chr3</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NM_001664.4</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STAT3</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chr17</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exon 20 + 21</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NM_139276.4</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STAT5B</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chr17</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exons 14 + 15 + 16</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NM_012448.4</w:t>
            </w:r>
          </w:p>
        </w:tc>
      </w:tr>
      <w:tr w:rsidR="00E56818" w:rsidRPr="004F6480" w:rsidTr="00A967C0">
        <w:trPr>
          <w:trHeight w:val="288"/>
        </w:trPr>
        <w:tc>
          <w:tcPr>
            <w:tcW w:w="1455" w:type="dxa"/>
            <w:shd w:val="pct20" w:color="0000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TET2</w:t>
            </w:r>
          </w:p>
        </w:tc>
        <w:tc>
          <w:tcPr>
            <w:tcW w:w="739"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chr4</w:t>
            </w:r>
          </w:p>
        </w:tc>
        <w:tc>
          <w:tcPr>
            <w:tcW w:w="992"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0" w:color="0000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NM_001127208.2</w:t>
            </w:r>
          </w:p>
        </w:tc>
      </w:tr>
      <w:tr w:rsidR="00E56818" w:rsidRPr="004F6480" w:rsidTr="00A967C0">
        <w:trPr>
          <w:trHeight w:val="288"/>
        </w:trPr>
        <w:tc>
          <w:tcPr>
            <w:tcW w:w="1455" w:type="dxa"/>
            <w:shd w:val="pct25" w:color="FFFF00" w:fill="FFFFFF"/>
            <w:noWrap/>
            <w:hideMark/>
          </w:tcPr>
          <w:p w:rsidR="00E56818" w:rsidRPr="004F6480" w:rsidRDefault="00E56818" w:rsidP="00A967C0">
            <w:pPr>
              <w:spacing w:after="0" w:line="480" w:lineRule="auto"/>
              <w:rPr>
                <w:rFonts w:ascii="Arial" w:hAnsi="Arial"/>
                <w:b/>
                <w:bCs/>
                <w:sz w:val="18"/>
                <w:szCs w:val="18"/>
              </w:rPr>
            </w:pPr>
            <w:r w:rsidRPr="004F6480">
              <w:rPr>
                <w:rFonts w:ascii="Arial" w:hAnsi="Arial"/>
                <w:b/>
                <w:bCs/>
                <w:sz w:val="18"/>
                <w:szCs w:val="18"/>
              </w:rPr>
              <w:t>TP53</w:t>
            </w:r>
          </w:p>
        </w:tc>
        <w:tc>
          <w:tcPr>
            <w:tcW w:w="739"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chr17</w:t>
            </w:r>
          </w:p>
        </w:tc>
        <w:tc>
          <w:tcPr>
            <w:tcW w:w="992"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all coding</w:t>
            </w:r>
          </w:p>
        </w:tc>
        <w:tc>
          <w:tcPr>
            <w:tcW w:w="1720" w:type="dxa"/>
            <w:shd w:val="pct25" w:color="FFFF00" w:fill="FFFFFF"/>
            <w:noWrap/>
            <w:hideMark/>
          </w:tcPr>
          <w:p w:rsidR="00E56818" w:rsidRPr="004F6480" w:rsidRDefault="00E56818" w:rsidP="00A967C0">
            <w:pPr>
              <w:spacing w:after="0" w:line="480" w:lineRule="auto"/>
              <w:rPr>
                <w:rFonts w:ascii="Arial" w:hAnsi="Arial"/>
                <w:sz w:val="18"/>
                <w:szCs w:val="18"/>
              </w:rPr>
            </w:pPr>
            <w:r w:rsidRPr="004F6480">
              <w:rPr>
                <w:rFonts w:ascii="Arial" w:hAnsi="Arial"/>
                <w:sz w:val="18"/>
                <w:szCs w:val="18"/>
              </w:rPr>
              <w:t>NM_000546.6</w:t>
            </w:r>
          </w:p>
        </w:tc>
      </w:tr>
    </w:tbl>
    <w:p w:rsidR="00E56818" w:rsidRPr="00406724" w:rsidRDefault="00E56818" w:rsidP="00E56818">
      <w:pPr>
        <w:spacing w:after="0"/>
        <w:rPr>
          <w:rFonts w:ascii="Arial" w:hAnsi="Arial"/>
        </w:rPr>
      </w:pPr>
    </w:p>
    <w:p w:rsidR="00E56818" w:rsidRDefault="00E56818" w:rsidP="00E56818">
      <w:pPr>
        <w:pStyle w:val="Heading2"/>
        <w:widowControl w:val="0"/>
        <w:numPr>
          <w:ilvl w:val="0"/>
          <w:numId w:val="0"/>
        </w:numPr>
        <w:overflowPunct w:val="0"/>
        <w:autoSpaceDE w:val="0"/>
        <w:autoSpaceDN w:val="0"/>
        <w:adjustRightInd w:val="0"/>
        <w:spacing w:before="0" w:after="0"/>
        <w:textAlignment w:val="baseline"/>
        <w:rPr>
          <w:lang w:eastAsia="en-GB"/>
        </w:rPr>
      </w:pPr>
      <w:r>
        <w:rPr>
          <w:lang w:eastAsia="en-GB"/>
        </w:rPr>
        <w:br w:type="page"/>
      </w:r>
    </w:p>
    <w:p w:rsidR="00E56818" w:rsidRPr="00A03381" w:rsidRDefault="00E56818" w:rsidP="00E56818">
      <w:pPr>
        <w:pStyle w:val="Heading2"/>
        <w:widowControl w:val="0"/>
        <w:numPr>
          <w:ilvl w:val="1"/>
          <w:numId w:val="33"/>
        </w:numPr>
        <w:overflowPunct w:val="0"/>
        <w:autoSpaceDE w:val="0"/>
        <w:autoSpaceDN w:val="0"/>
        <w:adjustRightInd w:val="0"/>
        <w:spacing w:before="0" w:after="0"/>
        <w:textAlignment w:val="baseline"/>
        <w:rPr>
          <w:lang w:eastAsia="en-GB"/>
        </w:rPr>
      </w:pPr>
      <w:bookmarkStart w:id="52" w:name="_Toc114849239"/>
      <w:r w:rsidRPr="00A03381">
        <w:rPr>
          <w:lang w:eastAsia="en-GB"/>
        </w:rPr>
        <w:lastRenderedPageBreak/>
        <w:t>BRAF V600 Mutation</w:t>
      </w:r>
      <w:bookmarkEnd w:id="52"/>
    </w:p>
    <w:p w:rsidR="00E56818" w:rsidRPr="00E56818" w:rsidRDefault="00E56818" w:rsidP="00E56818">
      <w:pPr>
        <w:overflowPunct w:val="0"/>
        <w:autoSpaceDE w:val="0"/>
        <w:autoSpaceDN w:val="0"/>
        <w:adjustRightInd w:val="0"/>
        <w:textAlignment w:val="baseline"/>
        <w:rPr>
          <w:rFonts w:ascii="Arial" w:hAnsi="Arial"/>
          <w:sz w:val="20"/>
          <w:szCs w:val="20"/>
        </w:rPr>
      </w:pPr>
      <w:r w:rsidRPr="00E56818">
        <w:rPr>
          <w:rFonts w:ascii="Arial" w:hAnsi="Arial"/>
          <w:sz w:val="20"/>
          <w:szCs w:val="20"/>
        </w:rPr>
        <w:t xml:space="preserve">BRAF is the most commonly mutated gene in human cancers and encodes a serine/threonine protein kinase involved in cellular growth signalling (Davies et al., 2002). In Hairy Cell Leukaemia (HCL), the V600E variation has been found in a high proportion of cases (see Tiacci et al., 2011) proving to be an effective diagnostic marker for HCL. Early diagnosis of HCL is important because it can translate into a treatable disease outcome using highly effective purine nucleoside analogues (Grever, 2010). </w:t>
      </w:r>
    </w:p>
    <w:p w:rsidR="00E56818" w:rsidRPr="00E56818" w:rsidRDefault="00E56818" w:rsidP="00E56818">
      <w:pPr>
        <w:overflowPunct w:val="0"/>
        <w:autoSpaceDE w:val="0"/>
        <w:autoSpaceDN w:val="0"/>
        <w:adjustRightInd w:val="0"/>
        <w:textAlignment w:val="baseline"/>
        <w:rPr>
          <w:rFonts w:ascii="Arial" w:hAnsi="Arial"/>
          <w:sz w:val="20"/>
          <w:szCs w:val="20"/>
        </w:rPr>
      </w:pPr>
      <w:r w:rsidRPr="00E56818">
        <w:rPr>
          <w:rFonts w:ascii="Arial" w:hAnsi="Arial"/>
          <w:sz w:val="20"/>
          <w:szCs w:val="20"/>
        </w:rPr>
        <w:t>The purpose of this assay is the screening of the V600E and V600K variation in BRAF using an allele specific PCR-based Amplification Refractory Mutation System (ARM) to aid pathologists in the diagnosis of HCL in ambiguous cases.</w:t>
      </w:r>
    </w:p>
    <w:p w:rsidR="00E56818" w:rsidRPr="00E56818" w:rsidRDefault="00E56818" w:rsidP="00E56818">
      <w:pPr>
        <w:overflowPunct w:val="0"/>
        <w:autoSpaceDE w:val="0"/>
        <w:autoSpaceDN w:val="0"/>
        <w:adjustRightInd w:val="0"/>
        <w:spacing w:after="0"/>
        <w:textAlignment w:val="baseline"/>
        <w:rPr>
          <w:rFonts w:ascii="Arial" w:hAnsi="Arial"/>
          <w:b/>
          <w:sz w:val="20"/>
          <w:szCs w:val="20"/>
        </w:rPr>
      </w:pPr>
      <w:r w:rsidRPr="00E56818">
        <w:rPr>
          <w:rFonts w:ascii="Arial" w:hAnsi="Arial"/>
          <w:b/>
          <w:sz w:val="20"/>
          <w:szCs w:val="20"/>
        </w:rPr>
        <w:t>References:</w:t>
      </w:r>
    </w:p>
    <w:p w:rsidR="00E56818" w:rsidRPr="00E56818" w:rsidRDefault="00E56818" w:rsidP="00E56818">
      <w:pPr>
        <w:overflowPunct w:val="0"/>
        <w:autoSpaceDE w:val="0"/>
        <w:autoSpaceDN w:val="0"/>
        <w:adjustRightInd w:val="0"/>
        <w:spacing w:after="0"/>
        <w:textAlignment w:val="baseline"/>
        <w:rPr>
          <w:rFonts w:ascii="Arial" w:hAnsi="Arial"/>
          <w:sz w:val="20"/>
          <w:szCs w:val="20"/>
        </w:rPr>
      </w:pPr>
      <w:r w:rsidRPr="00E56818">
        <w:rPr>
          <w:rFonts w:ascii="Arial" w:hAnsi="Arial"/>
          <w:sz w:val="20"/>
          <w:szCs w:val="20"/>
        </w:rPr>
        <w:t>Davies H, Bignell GR, Cox C, et al. Mutations of the BRAF gene in human cancer. Nature 2002; 417:949-954</w:t>
      </w:r>
    </w:p>
    <w:p w:rsidR="00E56818" w:rsidRPr="00E56818" w:rsidRDefault="00E56818" w:rsidP="00E56818">
      <w:pPr>
        <w:overflowPunct w:val="0"/>
        <w:autoSpaceDE w:val="0"/>
        <w:autoSpaceDN w:val="0"/>
        <w:adjustRightInd w:val="0"/>
        <w:spacing w:after="0"/>
        <w:textAlignment w:val="baseline"/>
        <w:rPr>
          <w:rFonts w:ascii="Arial" w:hAnsi="Arial"/>
          <w:sz w:val="20"/>
          <w:szCs w:val="20"/>
        </w:rPr>
      </w:pPr>
      <w:r w:rsidRPr="00E56818">
        <w:rPr>
          <w:rFonts w:ascii="Arial" w:hAnsi="Arial"/>
          <w:sz w:val="20"/>
          <w:szCs w:val="20"/>
        </w:rPr>
        <w:t>Ellison G, Donald E, McWalter G, et al. A comparison of ARMS and DNA sequencing for mutation analysis in clinical biopsy samples. J Exp Clin Cancer Res 2010; 29:132.</w:t>
      </w:r>
    </w:p>
    <w:p w:rsidR="00E56818" w:rsidRPr="00E56818" w:rsidRDefault="00E56818" w:rsidP="00E56818">
      <w:pPr>
        <w:overflowPunct w:val="0"/>
        <w:autoSpaceDE w:val="0"/>
        <w:autoSpaceDN w:val="0"/>
        <w:adjustRightInd w:val="0"/>
        <w:spacing w:after="0"/>
        <w:textAlignment w:val="baseline"/>
        <w:rPr>
          <w:rFonts w:ascii="Arial" w:hAnsi="Arial"/>
          <w:sz w:val="20"/>
          <w:szCs w:val="20"/>
        </w:rPr>
      </w:pPr>
      <w:r w:rsidRPr="00E56818">
        <w:rPr>
          <w:rFonts w:ascii="Arial" w:hAnsi="Arial"/>
          <w:sz w:val="20"/>
          <w:szCs w:val="20"/>
        </w:rPr>
        <w:t>Grever MR. How I treat hairy cell leukemia. Blood 2010; 115:21-28</w:t>
      </w:r>
    </w:p>
    <w:p w:rsidR="00E56818" w:rsidRPr="00E56818" w:rsidRDefault="00E56818" w:rsidP="00E56818">
      <w:pPr>
        <w:overflowPunct w:val="0"/>
        <w:autoSpaceDE w:val="0"/>
        <w:autoSpaceDN w:val="0"/>
        <w:adjustRightInd w:val="0"/>
        <w:spacing w:after="0"/>
        <w:textAlignment w:val="baseline"/>
        <w:rPr>
          <w:rFonts w:ascii="Arial" w:hAnsi="Arial"/>
          <w:sz w:val="20"/>
          <w:szCs w:val="20"/>
        </w:rPr>
      </w:pPr>
      <w:r w:rsidRPr="00E56818">
        <w:rPr>
          <w:rFonts w:ascii="Arial" w:hAnsi="Arial"/>
          <w:sz w:val="20"/>
          <w:szCs w:val="20"/>
        </w:rPr>
        <w:t>Tiacci E, Trifonov V, Schiavoni G, et al. BRAF mutations in hairy-cell leukemia. New England Journal of Medicine 2011; 364:2305–2315.</w:t>
      </w:r>
    </w:p>
    <w:p w:rsidR="00E56818" w:rsidRPr="00E56818" w:rsidRDefault="00E56818" w:rsidP="00E56818">
      <w:pPr>
        <w:spacing w:after="0"/>
        <w:rPr>
          <w:rFonts w:ascii="Arial" w:hAnsi="Arial"/>
          <w:b/>
          <w:sz w:val="20"/>
          <w:szCs w:val="20"/>
        </w:rPr>
      </w:pPr>
    </w:p>
    <w:p w:rsidR="00E56818" w:rsidRPr="00E56818" w:rsidRDefault="00E56818" w:rsidP="00E56818">
      <w:pPr>
        <w:spacing w:after="0"/>
        <w:rPr>
          <w:rFonts w:ascii="Arial" w:hAnsi="Arial"/>
          <w:sz w:val="20"/>
          <w:szCs w:val="20"/>
        </w:rPr>
      </w:pPr>
      <w:r w:rsidRPr="00E56818">
        <w:rPr>
          <w:rFonts w:ascii="Arial" w:hAnsi="Arial"/>
          <w:b/>
          <w:sz w:val="20"/>
          <w:szCs w:val="20"/>
          <w:u w:val="single"/>
        </w:rPr>
        <w:t>Factors affecting results or interpretation</w:t>
      </w:r>
      <w:r w:rsidRPr="00E56818">
        <w:rPr>
          <w:rFonts w:ascii="Arial" w:hAnsi="Arial"/>
          <w:sz w:val="20"/>
          <w:szCs w:val="20"/>
          <w:u w:val="single"/>
        </w:rPr>
        <w:t>:</w:t>
      </w:r>
      <w:r w:rsidRPr="00E56818">
        <w:rPr>
          <w:rFonts w:ascii="Arial" w:hAnsi="Arial"/>
          <w:sz w:val="20"/>
          <w:szCs w:val="20"/>
        </w:rPr>
        <w:t xml:space="preserve"> </w:t>
      </w:r>
    </w:p>
    <w:p w:rsidR="00E56818" w:rsidRPr="00E56818" w:rsidRDefault="00E56818" w:rsidP="00E56818">
      <w:pPr>
        <w:spacing w:after="0"/>
        <w:rPr>
          <w:rFonts w:ascii="Arial" w:hAnsi="Arial"/>
          <w:sz w:val="20"/>
          <w:szCs w:val="20"/>
        </w:rPr>
      </w:pPr>
      <w:r w:rsidRPr="00E56818">
        <w:rPr>
          <w:rFonts w:ascii="Arial" w:hAnsi="Arial"/>
          <w:sz w:val="20"/>
          <w:szCs w:val="20"/>
        </w:rPr>
        <w:t xml:space="preserve">The sensitivity of the BRAF V600 assay is limited to 0.5% variant allele frequency. Samples containing lower numbers of tumour cells are likely to subject to false negative results. This assay may be suitable for monitoring patients post treatment including post transplantation. </w:t>
      </w:r>
    </w:p>
    <w:p w:rsidR="00E56818" w:rsidRPr="00E56818" w:rsidRDefault="00E56818" w:rsidP="00E56818">
      <w:pPr>
        <w:spacing w:after="0"/>
        <w:rPr>
          <w:rFonts w:ascii="Arial" w:hAnsi="Arial"/>
        </w:rPr>
      </w:pPr>
    </w:p>
    <w:p w:rsidR="00E56818" w:rsidRPr="00E56818" w:rsidRDefault="00E56818" w:rsidP="00E56818">
      <w:pPr>
        <w:pStyle w:val="Heading2"/>
        <w:widowControl w:val="0"/>
        <w:numPr>
          <w:ilvl w:val="1"/>
          <w:numId w:val="33"/>
        </w:numPr>
        <w:overflowPunct w:val="0"/>
        <w:autoSpaceDE w:val="0"/>
        <w:autoSpaceDN w:val="0"/>
        <w:adjustRightInd w:val="0"/>
        <w:spacing w:before="0" w:after="0"/>
        <w:textAlignment w:val="baseline"/>
        <w:rPr>
          <w:lang w:eastAsia="en-GB"/>
        </w:rPr>
      </w:pPr>
      <w:bookmarkStart w:id="53" w:name="_Toc114849240"/>
      <w:r w:rsidRPr="00E56818">
        <w:rPr>
          <w:lang w:eastAsia="en-GB"/>
        </w:rPr>
        <w:t>MYD88 L265P Mutation</w:t>
      </w:r>
      <w:bookmarkEnd w:id="53"/>
    </w:p>
    <w:p w:rsidR="00E56818" w:rsidRPr="00E56818" w:rsidRDefault="00E56818" w:rsidP="00E56818">
      <w:pPr>
        <w:pStyle w:val="BodyText"/>
        <w:numPr>
          <w:ilvl w:val="0"/>
          <w:numId w:val="0"/>
        </w:numPr>
        <w:spacing w:before="60"/>
        <w:ind w:left="57" w:right="2"/>
        <w:jc w:val="left"/>
        <w:rPr>
          <w:rFonts w:ascii="Arial" w:hAnsi="Arial"/>
          <w:sz w:val="20"/>
          <w:szCs w:val="20"/>
        </w:rPr>
      </w:pPr>
      <w:r w:rsidRPr="00E56818">
        <w:rPr>
          <w:rFonts w:ascii="Arial" w:hAnsi="Arial"/>
          <w:sz w:val="20"/>
          <w:szCs w:val="20"/>
        </w:rPr>
        <w:t>The single gene PCR based assay for MYD88 mutations is offered mostly as a salvage pathway for poor quality samples such as DNA from FFPE or samples such as vitreous humor which have failed or are likely to fail the LGP assay</w:t>
      </w:r>
    </w:p>
    <w:p w:rsidR="00E56818" w:rsidRPr="00E56818" w:rsidRDefault="00E56818" w:rsidP="00E56818">
      <w:pPr>
        <w:pStyle w:val="BodyText"/>
        <w:numPr>
          <w:ilvl w:val="0"/>
          <w:numId w:val="0"/>
        </w:numPr>
        <w:spacing w:before="60"/>
        <w:ind w:left="57" w:right="2"/>
        <w:jc w:val="left"/>
        <w:rPr>
          <w:rFonts w:ascii="Arial" w:hAnsi="Arial"/>
          <w:sz w:val="20"/>
          <w:szCs w:val="20"/>
        </w:rPr>
      </w:pPr>
      <w:r w:rsidRPr="00E56818">
        <w:rPr>
          <w:rFonts w:ascii="Arial" w:hAnsi="Arial"/>
          <w:sz w:val="20"/>
          <w:szCs w:val="20"/>
        </w:rPr>
        <w:t xml:space="preserve">MYD88 L265P is a mutation present in the B-cell lymphoproliferative disorders Waldenstrom’s Macroglobulinemia (WM) and IgM Monoclonal Gammopathy of Undetermined Significance (IgM MGUS). MYD88 L265P has been found in other B-cell disorders at a lower level, including Diffuse Large B-cell Lymphoma of the ABC subtype (ABC-DLBCL), Splenic Marginal Zone Lymphoma (SMZL) etc. In particular this mutation was present in WM at 93% and has consistently been shown to be reported at around this level by several other groups. Studies have shown that MYD88 L265P detection in IGM MGUS patients (54%) is an early oncogenic event in the progression to WM. MYD88 was found to be a component in the process of IϰBα phosphorylation and NF-ϰB activation by directing the construction of a signalling complex. In NF-ϰB signalling we can see MYD88 is integral to the pathway as it is directly or indirectly activated by Interleukin-1 receptor or Toll-like receptor 4. This triggers autophosphorylation of IRAK (intereukin-1 receptor-associated kinase) 4. At the end of this pathway IϰBα is phosphorylated and NF-ϰB p65 and p50 is released which induces prosurvival signalling in these cells. </w:t>
      </w:r>
    </w:p>
    <w:p w:rsidR="00E56818" w:rsidRPr="00E56818" w:rsidRDefault="00E56818" w:rsidP="00E56818">
      <w:pPr>
        <w:rPr>
          <w:rFonts w:ascii="Arial" w:hAnsi="Arial"/>
          <w:sz w:val="20"/>
          <w:szCs w:val="20"/>
        </w:rPr>
      </w:pPr>
      <w:r w:rsidRPr="00E56818">
        <w:rPr>
          <w:rFonts w:ascii="Arial" w:hAnsi="Arial"/>
          <w:sz w:val="20"/>
          <w:szCs w:val="20"/>
        </w:rPr>
        <w:t xml:space="preserve">A PCR based assay for the MYD88 L265P mutation has been established and is based on the allele specific qPCR method published by Xu et al 2013. This PCR assay used within the LMH laboratory is capable of identifying patients who carry a mutant copy of the MYD88 allele at codon 265 at 1% mutation. This change in nucleotide sequence produces a substitution of the amino acid leucine to proline. A negative result does not rule out one of the above conditions; however a positive result would strongly suggest the diagnosis of Waldenstrom’s Macroglobulinemia, and is useful in diagnosis when analysed with other clinical features. Detection of MYD88 L265P may also be useful with respects to implementing treatment strategies. </w:t>
      </w:r>
    </w:p>
    <w:p w:rsidR="00E56818" w:rsidRPr="00E56818" w:rsidRDefault="00E56818" w:rsidP="00E56818">
      <w:pPr>
        <w:rPr>
          <w:rFonts w:ascii="Arial" w:hAnsi="Arial"/>
          <w:sz w:val="20"/>
          <w:szCs w:val="20"/>
        </w:rPr>
      </w:pPr>
    </w:p>
    <w:p w:rsidR="00E56818" w:rsidRPr="00E56818" w:rsidRDefault="00E56818" w:rsidP="00E56818">
      <w:pPr>
        <w:spacing w:after="0"/>
        <w:rPr>
          <w:rFonts w:ascii="Arial" w:hAnsi="Arial"/>
          <w:sz w:val="20"/>
          <w:szCs w:val="20"/>
        </w:rPr>
      </w:pPr>
      <w:r w:rsidRPr="00E56818">
        <w:rPr>
          <w:rFonts w:ascii="Arial" w:hAnsi="Arial"/>
          <w:b/>
          <w:sz w:val="20"/>
          <w:szCs w:val="20"/>
        </w:rPr>
        <w:t>Factors affecting results or interpretation</w:t>
      </w:r>
      <w:r w:rsidRPr="00E56818">
        <w:rPr>
          <w:rFonts w:ascii="Arial" w:hAnsi="Arial"/>
          <w:sz w:val="20"/>
          <w:szCs w:val="20"/>
        </w:rPr>
        <w:t xml:space="preserve">: The sensitivity of the MYD L265P assay is limited to 1% variant allele frequency. Samples containing lower concentrations of tumour cells are likely </w:t>
      </w:r>
      <w:r w:rsidRPr="00E56818">
        <w:rPr>
          <w:rFonts w:ascii="Arial" w:hAnsi="Arial"/>
          <w:sz w:val="20"/>
          <w:szCs w:val="20"/>
        </w:rPr>
        <w:lastRenderedPageBreak/>
        <w:t>to subject to false negative results. This assay may be suitable for monitoring patients post treatment including following post transplantation.</w:t>
      </w:r>
    </w:p>
    <w:p w:rsidR="00E56818" w:rsidRPr="00E56818" w:rsidRDefault="00E56818" w:rsidP="00E56818">
      <w:pPr>
        <w:spacing w:after="0"/>
        <w:rPr>
          <w:rFonts w:ascii="Arial" w:hAnsi="Arial"/>
          <w:sz w:val="20"/>
          <w:szCs w:val="20"/>
        </w:rPr>
      </w:pPr>
    </w:p>
    <w:p w:rsidR="00E56818" w:rsidRPr="00E56818" w:rsidRDefault="00E56818" w:rsidP="00E56818">
      <w:pPr>
        <w:pStyle w:val="Heading2"/>
        <w:numPr>
          <w:ilvl w:val="0"/>
          <w:numId w:val="0"/>
        </w:numPr>
        <w:spacing w:after="0"/>
      </w:pPr>
      <w:bookmarkStart w:id="54" w:name="_Toc114849241"/>
      <w:r w:rsidRPr="00E56818">
        <w:t>7.7</w:t>
      </w:r>
      <w:r w:rsidRPr="00E56818">
        <w:tab/>
        <w:t>ABL1 kinase domain mutation</w:t>
      </w:r>
      <w:bookmarkEnd w:id="54"/>
    </w:p>
    <w:p w:rsidR="00E56818" w:rsidRPr="00E56818" w:rsidRDefault="00E56818" w:rsidP="00E56818">
      <w:pPr>
        <w:spacing w:after="0"/>
        <w:rPr>
          <w:rFonts w:ascii="Arial" w:hAnsi="Arial"/>
          <w:sz w:val="20"/>
          <w:szCs w:val="20"/>
        </w:rPr>
      </w:pPr>
      <w:r w:rsidRPr="00E56818">
        <w:rPr>
          <w:rFonts w:ascii="Arial" w:hAnsi="Arial"/>
          <w:sz w:val="20"/>
          <w:szCs w:val="20"/>
        </w:rPr>
        <w:t>Imatinib or the second and third generation tyrosine kinase inhibitors (TKIs) can induce durable responses in the majority of patients with chronic myeloid leukaemia (CML) or Ph+ Acute lymphoblastic leukaemia (Ph+ALL); but some patients either fail to respond (primary resistance) or respond initially or then lose their response (secondary resistance). Although TKI resistance can be multi-factorial (BCR::ABL1 kinase domain (KD) mutations, BCR::ABL1 amplification, overexpression and clonal evolution with activation of additional oncogenic pathways), point mutations within the KD of BCR::ABL1 constitute the most frequent mechanism.</w:t>
      </w:r>
    </w:p>
    <w:p w:rsidR="00E56818" w:rsidRDefault="00E56818" w:rsidP="00E56818">
      <w:pPr>
        <w:rPr>
          <w:rFonts w:ascii="Arial" w:hAnsi="Arial"/>
          <w:sz w:val="20"/>
          <w:szCs w:val="20"/>
        </w:rPr>
      </w:pPr>
      <w:r w:rsidRPr="00E56818">
        <w:rPr>
          <w:rFonts w:ascii="Arial" w:hAnsi="Arial"/>
          <w:sz w:val="20"/>
          <w:szCs w:val="20"/>
        </w:rPr>
        <w:t>In particular, these mutations cause amino acid substitutions inside the KD, consequently impairing TKI binding and resulting in a loss of sensitivity to TKI by a direct or indirect mechanism. Depending on the regions where they are located (Figure 1), mutations can actually interrupt critical contact points between the TKI and BCR::ABL1 protein, or they can induce a conformational change, resulting in a protein to which TKI is unable to bind. At present, approximately 90 different BCR::ABL1 KD mutations have been identified. Many of these are relatively rare, whereas the most common, which account for 60-70% of all the mutations are shown in the diagram below.</w:t>
      </w:r>
    </w:p>
    <w:p w:rsidR="00B61456" w:rsidRPr="00E56818" w:rsidRDefault="00B61456" w:rsidP="00E56818">
      <w:pPr>
        <w:rPr>
          <w:rFonts w:ascii="Arial" w:hAnsi="Arial"/>
          <w:sz w:val="20"/>
          <w:szCs w:val="20"/>
        </w:rPr>
      </w:pPr>
    </w:p>
    <w:p w:rsidR="00E56818" w:rsidRPr="00406724" w:rsidRDefault="00E56818" w:rsidP="00E56818">
      <w:pPr>
        <w:rPr>
          <w:rFonts w:ascii="Arial" w:hAnsi="Arial"/>
        </w:rPr>
      </w:pPr>
      <w:r w:rsidRPr="002A4254">
        <w:rPr>
          <w:noProof/>
          <w:sz w:val="24"/>
          <w:lang w:eastAsia="en-GB"/>
        </w:rPr>
        <w:drawing>
          <wp:inline distT="0" distB="0" distL="0" distR="0" wp14:anchorId="0F19EF20" wp14:editId="05C436C0">
            <wp:extent cx="5305425" cy="411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05425" cy="4114800"/>
                    </a:xfrm>
                    <a:prstGeom prst="rect">
                      <a:avLst/>
                    </a:prstGeom>
                    <a:noFill/>
                    <a:ln>
                      <a:noFill/>
                    </a:ln>
                  </pic:spPr>
                </pic:pic>
              </a:graphicData>
            </a:graphic>
          </wp:inline>
        </w:drawing>
      </w:r>
    </w:p>
    <w:p w:rsidR="00E56818" w:rsidRPr="00406724" w:rsidRDefault="00E56818" w:rsidP="00E56818">
      <w:pPr>
        <w:pStyle w:val="Heading3"/>
        <w:numPr>
          <w:ilvl w:val="0"/>
          <w:numId w:val="0"/>
        </w:numPr>
        <w:spacing w:after="0"/>
        <w:jc w:val="left"/>
        <w:rPr>
          <w:b/>
          <w:sz w:val="20"/>
        </w:rPr>
      </w:pPr>
      <w:bookmarkStart w:id="55" w:name="_Toc453852711"/>
      <w:r w:rsidRPr="00FF79D1">
        <w:rPr>
          <w:b/>
          <w:sz w:val="20"/>
        </w:rPr>
        <w:t>BCR::ABL1 Kinase domain and mutations</w:t>
      </w:r>
      <w:bookmarkEnd w:id="55"/>
      <w:r w:rsidRPr="00406724">
        <w:rPr>
          <w:sz w:val="20"/>
        </w:rPr>
        <w:t xml:space="preserve"> (A) Magnification of the BCR</w:t>
      </w:r>
      <w:r>
        <w:rPr>
          <w:sz w:val="20"/>
        </w:rPr>
        <w:t>::</w:t>
      </w:r>
      <w:r w:rsidRPr="00406724">
        <w:rPr>
          <w:sz w:val="20"/>
        </w:rPr>
        <w:t xml:space="preserve">ABL1 kinase domain, showing the main functional subdomains. Black triangles indicate Imatinib-resistant mutations. (B) Summary of the mutations reported to be insensitive to Imatinib, Nilotinib, Dasatinib, Bosutinib, and Ponatinib. </w:t>
      </w:r>
    </w:p>
    <w:p w:rsidR="00E56818" w:rsidRPr="00FF79D1" w:rsidRDefault="00E56818" w:rsidP="00E56818">
      <w:pPr>
        <w:spacing w:after="0"/>
        <w:rPr>
          <w:rFonts w:ascii="Arial" w:hAnsi="Arial"/>
          <w:sz w:val="20"/>
          <w:szCs w:val="20"/>
        </w:rPr>
      </w:pPr>
      <w:r w:rsidRPr="00FF79D1">
        <w:rPr>
          <w:rFonts w:ascii="Arial" w:hAnsi="Arial"/>
          <w:sz w:val="20"/>
          <w:szCs w:val="20"/>
        </w:rPr>
        <w:t>The LMH laboratory has developed NGS based sequencing approaches to interrogate the Kinase domain of BCR::ABL1 which has an enhanced sensitivity (around 3%) and is capable of detecting low level drug resistant clones early.</w:t>
      </w:r>
    </w:p>
    <w:p w:rsidR="00E56818" w:rsidRPr="00FF79D1" w:rsidRDefault="00E56818" w:rsidP="00E56818">
      <w:pPr>
        <w:spacing w:after="0"/>
        <w:rPr>
          <w:rFonts w:ascii="Arial" w:hAnsi="Arial"/>
          <w:sz w:val="20"/>
          <w:szCs w:val="20"/>
        </w:rPr>
      </w:pPr>
    </w:p>
    <w:p w:rsidR="00E56818" w:rsidRPr="00FF79D1" w:rsidRDefault="00E56818" w:rsidP="00E56818">
      <w:pPr>
        <w:spacing w:after="0"/>
        <w:rPr>
          <w:rFonts w:ascii="Arial" w:hAnsi="Arial"/>
          <w:sz w:val="20"/>
          <w:szCs w:val="20"/>
        </w:rPr>
      </w:pPr>
      <w:r w:rsidRPr="00FF79D1">
        <w:rPr>
          <w:rFonts w:ascii="Arial" w:hAnsi="Arial"/>
          <w:b/>
          <w:sz w:val="20"/>
          <w:szCs w:val="20"/>
        </w:rPr>
        <w:lastRenderedPageBreak/>
        <w:t>Factors affecting results or interpretation:</w:t>
      </w:r>
      <w:r w:rsidRPr="00FF79D1">
        <w:rPr>
          <w:rFonts w:ascii="Arial" w:hAnsi="Arial"/>
          <w:sz w:val="20"/>
          <w:szCs w:val="20"/>
        </w:rPr>
        <w:t xml:space="preserve"> </w:t>
      </w:r>
    </w:p>
    <w:p w:rsidR="00E56818" w:rsidRPr="00FF79D1" w:rsidRDefault="00E56818" w:rsidP="00E56818">
      <w:pPr>
        <w:spacing w:after="0"/>
        <w:rPr>
          <w:rFonts w:ascii="Arial" w:hAnsi="Arial"/>
          <w:sz w:val="20"/>
          <w:szCs w:val="20"/>
        </w:rPr>
      </w:pPr>
      <w:r w:rsidRPr="00FF79D1">
        <w:rPr>
          <w:rFonts w:ascii="Arial" w:hAnsi="Arial"/>
          <w:sz w:val="20"/>
          <w:szCs w:val="20"/>
        </w:rPr>
        <w:t>Like many translocation assays sequencing of the ABL1 kinase domain from BCR::ABL1 is performed from RNA which is very susceptible to degradation.</w:t>
      </w:r>
    </w:p>
    <w:p w:rsidR="00E56818" w:rsidRPr="00FF79D1" w:rsidRDefault="00E56818" w:rsidP="00E56818">
      <w:pPr>
        <w:rPr>
          <w:rFonts w:ascii="Arial" w:hAnsi="Arial"/>
          <w:sz w:val="20"/>
          <w:szCs w:val="20"/>
        </w:rPr>
      </w:pPr>
      <w:r w:rsidRPr="00FF79D1">
        <w:rPr>
          <w:rFonts w:ascii="Arial" w:hAnsi="Arial"/>
          <w:sz w:val="20"/>
          <w:szCs w:val="20"/>
        </w:rPr>
        <w:t>Samples received in heparin are not amenable to PCR based analysis and will not be tested.</w:t>
      </w:r>
    </w:p>
    <w:p w:rsidR="00E56818" w:rsidRPr="00FF79D1" w:rsidRDefault="00E56818" w:rsidP="00E56818">
      <w:pPr>
        <w:rPr>
          <w:rFonts w:ascii="Arial" w:hAnsi="Arial"/>
          <w:sz w:val="20"/>
          <w:szCs w:val="20"/>
        </w:rPr>
      </w:pPr>
    </w:p>
    <w:p w:rsidR="00E56818" w:rsidRPr="00FF79D1" w:rsidRDefault="00E56818" w:rsidP="00E56818">
      <w:pPr>
        <w:pStyle w:val="Heading2"/>
        <w:numPr>
          <w:ilvl w:val="0"/>
          <w:numId w:val="0"/>
        </w:numPr>
      </w:pPr>
      <w:bookmarkStart w:id="56" w:name="_Toc114849242"/>
      <w:r w:rsidRPr="00FF79D1">
        <w:t>7.8</w:t>
      </w:r>
      <w:r w:rsidRPr="00FF79D1">
        <w:tab/>
        <w:t>Chimerism</w:t>
      </w:r>
      <w:bookmarkEnd w:id="56"/>
    </w:p>
    <w:p w:rsidR="00E56818" w:rsidRPr="00FF79D1" w:rsidRDefault="00E56818" w:rsidP="00E56818">
      <w:pPr>
        <w:rPr>
          <w:rFonts w:ascii="Arial" w:hAnsi="Arial"/>
          <w:sz w:val="20"/>
          <w:szCs w:val="20"/>
        </w:rPr>
      </w:pPr>
      <w:r w:rsidRPr="00FF79D1">
        <w:rPr>
          <w:rFonts w:ascii="Arial" w:hAnsi="Arial"/>
          <w:sz w:val="20"/>
          <w:szCs w:val="20"/>
        </w:rPr>
        <w:t>The Chimerism investigation is carried out to monitor the engraftment of Bone Marrow (BM), Peripheral Blood (PB), CD3 T-cells, CD15 Granulocytes and CD19 B-Cells following Haematopoietic Stem Cell Transplant. The microsatellite regions which the individual primer sets are designed to amplify, consist of repetitive sequences (short tandem repeats STRs) of DNA 3-7 base pairs in length. These STRs are well distributed throughout the human genome and are highly polymorphic. There are many advantages of STR typing. It is more tolerant of the use of degraded DNA templates than other typing methods because the amplification products are less than 500bp long. STR typing is also amenable to a variety of rapid DNA purification techniques, which are compatible with PCR but do not provide enough DNA of appropriate quality for Southern blot-based analyses. Donor and Pre-transplant recipient samples must be obtained before the Post-transplant sample can be analysed. The donor and recipient samples are run in conjunction with all post-transplant specimens (BM, PB or fractionated cells) to illustrate the individual polymorphic alleles which distinguish the donor population from the recipient. Analysis of chimerism is valuable in assessing patient’s response to transplantation. Observing a complete donor profile in the post-transplant samples indicates a successful transplant. Chimeric profiles, (the presence of both donor and recipient allelic peaks) depending on the donor to recipient ratio (%), may indicate a less successful engraftment or progression to relapse. Following analysis, donor and recipient profiles can be semi-quantified in the post-transplant sample by obtaining the values for the areas underneath respective peaks and calculating the percentages of each. A value is obtained for each of the informative genes and the mean is calculated to give a more accurate indication of the recipient status. The 16 gene profiles for each patient are printed and handed to the consultant haematologist at least 24 hours before the weekly chimerism meeting, where the individual cases are discussed with the BMT co-ordination team.</w:t>
      </w:r>
    </w:p>
    <w:p w:rsidR="00E56818" w:rsidRPr="00FF79D1" w:rsidRDefault="00E56818" w:rsidP="00E56818">
      <w:pPr>
        <w:rPr>
          <w:rFonts w:ascii="Arial" w:hAnsi="Arial"/>
          <w:sz w:val="20"/>
          <w:szCs w:val="20"/>
        </w:rPr>
      </w:pPr>
      <w:r w:rsidRPr="00FF79D1">
        <w:rPr>
          <w:rFonts w:ascii="Arial" w:hAnsi="Arial"/>
          <w:b/>
          <w:sz w:val="20"/>
          <w:szCs w:val="20"/>
        </w:rPr>
        <w:t>Factors affecting results or interpretation</w:t>
      </w:r>
      <w:r w:rsidRPr="00FF79D1">
        <w:rPr>
          <w:rFonts w:ascii="Arial" w:hAnsi="Arial"/>
          <w:sz w:val="20"/>
          <w:szCs w:val="20"/>
        </w:rPr>
        <w:t>: Post-transplanted samples can only be assessed alongside a donor and pre-transplant DNA profile. These samples must be provided as a one-off prior to the sending of post-transplant material.</w:t>
      </w:r>
    </w:p>
    <w:p w:rsidR="00E56818" w:rsidRPr="00FF79D1" w:rsidRDefault="00E56818" w:rsidP="00E56818">
      <w:pPr>
        <w:spacing w:after="0"/>
        <w:rPr>
          <w:rFonts w:ascii="Arial" w:hAnsi="Arial"/>
          <w:sz w:val="20"/>
          <w:szCs w:val="20"/>
        </w:rPr>
      </w:pPr>
      <w:r w:rsidRPr="00FF79D1">
        <w:rPr>
          <w:rFonts w:ascii="Arial" w:hAnsi="Arial"/>
          <w:b/>
          <w:sz w:val="20"/>
          <w:szCs w:val="20"/>
        </w:rPr>
        <w:t>Reference:</w:t>
      </w:r>
      <w:r w:rsidRPr="00FF79D1">
        <w:rPr>
          <w:rFonts w:ascii="Arial" w:hAnsi="Arial"/>
          <w:sz w:val="20"/>
          <w:szCs w:val="20"/>
        </w:rPr>
        <w:t xml:space="preserve"> Edwards, A. et al. (1991) DNA typing with trimeric and tetrameric tandem repeats; polymorphic loci, detection systems and population genetics. In: The Second International Symposium on Human Identification 1991, Promega Corporation, 31 - 52. Edwards, A. et al. (1991) DNA typing and genetic mapping with trimeric and tetrameric tandem repeats. Am Journal Hum. Genetics. 49, 746 – 56 Warne, D. et al. (1991) Tetranucleotide repeat polymorphism at the human B-actin related pseudogene 2 detected using the polymerase chain reaction. Nucl Acids Res. 19, 6980</w:t>
      </w:r>
    </w:p>
    <w:p w:rsidR="00E56818" w:rsidRPr="00FF79D1" w:rsidRDefault="00E56818" w:rsidP="00E56818">
      <w:pPr>
        <w:spacing w:after="0"/>
        <w:rPr>
          <w:rFonts w:ascii="Arial" w:hAnsi="Arial"/>
        </w:rPr>
      </w:pPr>
    </w:p>
    <w:p w:rsidR="00E56818" w:rsidRPr="00FF79D1" w:rsidRDefault="00E56818" w:rsidP="00E56818">
      <w:pPr>
        <w:pStyle w:val="Heading2"/>
        <w:numPr>
          <w:ilvl w:val="0"/>
          <w:numId w:val="0"/>
        </w:numPr>
        <w:spacing w:after="0"/>
      </w:pPr>
      <w:bookmarkStart w:id="57" w:name="_Toc114849243"/>
      <w:r w:rsidRPr="00FF79D1">
        <w:t>7.9</w:t>
      </w:r>
      <w:r w:rsidRPr="00FF79D1">
        <w:tab/>
        <w:t>SNP-Array Karyotyping</w:t>
      </w:r>
      <w:bookmarkEnd w:id="57"/>
      <w:r w:rsidRPr="00FF79D1">
        <w:t xml:space="preserve"> </w:t>
      </w:r>
    </w:p>
    <w:p w:rsidR="00E56818" w:rsidRPr="00FF79D1" w:rsidRDefault="00E56818" w:rsidP="00E56818">
      <w:pPr>
        <w:rPr>
          <w:rFonts w:ascii="Arial" w:hAnsi="Arial"/>
          <w:sz w:val="20"/>
          <w:szCs w:val="20"/>
        </w:rPr>
      </w:pPr>
      <w:r w:rsidRPr="00FF79D1">
        <w:rPr>
          <w:rFonts w:ascii="Arial" w:hAnsi="Arial"/>
          <w:sz w:val="20"/>
          <w:szCs w:val="20"/>
        </w:rPr>
        <w:t>Leukaemia’s are characterized by recurring chromosomal and genetic abnormalities and identification of these abnormalities plays important role in diagnosis, risk assessment and patient classification as defined in the WHO classification. Current methods like metaphase cytogenetic analysis and Florescent In Situ Hybridization (FISH) to detect genomic aberrations provide limited data due to the poor in vitro growth of the abnormal clone, poor resolution and are limited to only known regions of the genome.</w:t>
      </w:r>
    </w:p>
    <w:p w:rsidR="00E56818" w:rsidRPr="00FF79D1" w:rsidRDefault="00E56818" w:rsidP="00E56818">
      <w:pPr>
        <w:rPr>
          <w:rFonts w:ascii="Arial" w:hAnsi="Arial"/>
          <w:sz w:val="20"/>
          <w:szCs w:val="20"/>
        </w:rPr>
      </w:pPr>
      <w:r w:rsidRPr="00FF79D1">
        <w:rPr>
          <w:rFonts w:ascii="Arial" w:hAnsi="Arial"/>
          <w:sz w:val="20"/>
          <w:szCs w:val="20"/>
        </w:rPr>
        <w:t xml:space="preserve">High-resolution Single Nucleotide Polymorphism (SNP) microarrays can identify genome-wide cytogenetically cryptic genomic aberrations that can be of diagnostic and prognostic significance. With an intermarker spacing of 750bp, SNP arrays enable very high resolution genome wide detection of copy number abnormalities.  The ability to utilise a variety of clinical tissue including archived tissue material without in vitro processing, like cell culture and stimulation, provides the added benefit of unbiased cell analysis and reduced failure rate. SNP array also has the advantage of simultaneous genotyping, enabling detection of copy number neutral loss of </w:t>
      </w:r>
      <w:r w:rsidRPr="00FF79D1">
        <w:rPr>
          <w:rFonts w:ascii="Arial" w:hAnsi="Arial"/>
          <w:sz w:val="20"/>
          <w:szCs w:val="20"/>
        </w:rPr>
        <w:lastRenderedPageBreak/>
        <w:t>heterozygosity (CN-LOH) or uniparental disomy (UPD). These regions have been shown to harbour point mutations in genes known to have pathogenic consequences in myeloid malignancies, such as TET2, JAK2, EZH2, CBL etc. Presence of UPD has also shown to have similar consequences on patient outcome as if they had deletions. Data interpretation is objective based on definite probe signals rather than subjective visual assessment of band intensities.</w:t>
      </w:r>
    </w:p>
    <w:p w:rsidR="00E56818" w:rsidRPr="00FF79D1" w:rsidRDefault="00E56818" w:rsidP="00E56818">
      <w:pPr>
        <w:overflowPunct w:val="0"/>
        <w:autoSpaceDE w:val="0"/>
        <w:autoSpaceDN w:val="0"/>
        <w:adjustRightInd w:val="0"/>
        <w:spacing w:before="120"/>
        <w:textAlignment w:val="baseline"/>
        <w:rPr>
          <w:rFonts w:ascii="Arial" w:hAnsi="Arial"/>
          <w:sz w:val="20"/>
          <w:szCs w:val="20"/>
        </w:rPr>
      </w:pPr>
      <w:r w:rsidRPr="00FF79D1">
        <w:rPr>
          <w:rFonts w:ascii="Arial" w:hAnsi="Arial"/>
          <w:sz w:val="20"/>
          <w:szCs w:val="20"/>
        </w:rPr>
        <w:t>The purpose of this assay is to detect genomic aberrations in the genomic DNA from patients with haematological malignancies so as to aid in the diagnosis and treatment management of these diseases.</w:t>
      </w:r>
    </w:p>
    <w:p w:rsidR="00E56818" w:rsidRPr="00FF79D1" w:rsidRDefault="00E56818" w:rsidP="00E56818">
      <w:pPr>
        <w:pStyle w:val="BodyText"/>
        <w:numPr>
          <w:ilvl w:val="0"/>
          <w:numId w:val="0"/>
        </w:numPr>
        <w:spacing w:before="60"/>
        <w:ind w:left="57"/>
        <w:jc w:val="left"/>
        <w:rPr>
          <w:rFonts w:ascii="Arial" w:hAnsi="Arial"/>
          <w:sz w:val="20"/>
          <w:szCs w:val="20"/>
        </w:rPr>
      </w:pPr>
      <w:r w:rsidRPr="00FF79D1">
        <w:rPr>
          <w:rFonts w:ascii="Arial" w:hAnsi="Arial"/>
          <w:sz w:val="20"/>
          <w:szCs w:val="20"/>
        </w:rPr>
        <w:t xml:space="preserve">CytoScan Assay provides genome-wide coverage for the detection of chromosomal imbalances. The CytoScan array contains approximately 2.7 million markers which are representative of DNA sequences distributed throughout the genome with spacing, on average, approximately 880 bases apart in genic regions, and approximately 1700 bases apart in non-genic regions. The majority of the markers (1.9 million) are non-polymorphic markers, which provide overall genomic coverage of relevant cytogenetic regions and are used for assessing copy number. The assay utilises 750,000 SNPs that are DNA variants occurring in a large proportion of the human population (&gt;1%). Each individual inherits one allele copy from each parent, so that the individual genotype at an SNP site is either AA, BB, or AB. The array contains oligonucleotides that are specific for each of the two SNP alleles, referred to as A and B. As a fluorescent signal is obtained for each allele at a given SNP site, the strength of the hybridization intensity provides information about both SNP genotype (A, B, or AB) and copy number state (heterozygous or homozygous due to hybridization of genomic DNA to both or one probe variant, respectively). </w:t>
      </w:r>
    </w:p>
    <w:p w:rsidR="00E56818" w:rsidRPr="00FF79D1" w:rsidRDefault="00E56818" w:rsidP="00E56818">
      <w:pPr>
        <w:pStyle w:val="BodyText"/>
        <w:numPr>
          <w:ilvl w:val="0"/>
          <w:numId w:val="0"/>
        </w:numPr>
        <w:spacing w:before="60"/>
        <w:ind w:left="57"/>
        <w:jc w:val="left"/>
        <w:rPr>
          <w:rFonts w:ascii="Arial" w:hAnsi="Arial"/>
          <w:sz w:val="20"/>
          <w:szCs w:val="20"/>
        </w:rPr>
      </w:pPr>
      <w:r w:rsidRPr="00FF79D1">
        <w:rPr>
          <w:rFonts w:ascii="Arial" w:hAnsi="Arial"/>
          <w:sz w:val="20"/>
          <w:szCs w:val="20"/>
        </w:rPr>
        <w:t>ChAS software is used to analyse and visualize microarray data. The signal intensity of the hybridized DNA from the patient sample is compared to a reference DNA, which is based on an average of over 400 samples. The ratio of patient sample to reference intensity is expressed as a log2 ratio, and represents the relative intensity for each marker. A discrete copy number value is computed from the relative intensity data, and is displayed as the marker copy number state. The non-integer copy number states are calculated and displayed as the smoothed signal track, which can be used to support an interpretation of a mosaic gain or loss. The SNP marker A- and B-allele intensities are also visualised in the Allele Track, which can be used to confirm copy number variation regions. The allele tracks show 3 bands (AA, AB, BB) in normal diploid regions, 4 bands (AAA, AAB, ABB, BBB) in triploid regions, and 2 bands (A, B) in haploid regions. The SNP markers are also analysed for long contiguous stretches of homozygosity, which are visualized in the loss of heterozygosity (LOH) track. The absence or loss of heterozygosity (LOH) is calculated as a region significantly devoid of heterozygous genotype calls.</w:t>
      </w:r>
    </w:p>
    <w:p w:rsidR="00E56818" w:rsidRPr="00FF79D1" w:rsidRDefault="00E56818" w:rsidP="00E56818">
      <w:pPr>
        <w:pStyle w:val="BodyText"/>
        <w:numPr>
          <w:ilvl w:val="0"/>
          <w:numId w:val="0"/>
        </w:numPr>
        <w:spacing w:before="60"/>
        <w:ind w:left="57"/>
        <w:jc w:val="left"/>
        <w:rPr>
          <w:rFonts w:ascii="Arial" w:hAnsi="Arial"/>
          <w:sz w:val="20"/>
          <w:szCs w:val="20"/>
        </w:rPr>
      </w:pPr>
      <w:r w:rsidRPr="00FF79D1">
        <w:rPr>
          <w:rFonts w:ascii="Arial" w:hAnsi="Arial"/>
          <w:b/>
          <w:sz w:val="20"/>
          <w:szCs w:val="20"/>
        </w:rPr>
        <w:t>Factors affecting results or interpretation:</w:t>
      </w:r>
      <w:r w:rsidRPr="00FF79D1">
        <w:rPr>
          <w:rFonts w:ascii="Arial" w:hAnsi="Arial"/>
          <w:sz w:val="20"/>
          <w:szCs w:val="20"/>
        </w:rPr>
        <w:t xml:space="preserve"> The procedure relies on the availability of good quality genomic DNA obtained from the peripheral blood, bone marrow of patients the sensitivity is limited to around 20%. Samples containing lower concentrations of tumour cells are likely to subject to false negative results. This assay is not suitable for monitoring patients post treatment including post transplantation unless relapse is suspected or the tumour burden remains high. SNP-array is only capable of detecting copy number imbalances. Balanced translocations are not detected SNP-array. </w:t>
      </w:r>
    </w:p>
    <w:p w:rsidR="00E56818" w:rsidRPr="00FF79D1" w:rsidRDefault="00E56818" w:rsidP="00E56818">
      <w:pPr>
        <w:tabs>
          <w:tab w:val="left" w:pos="-720"/>
        </w:tabs>
        <w:suppressAutoHyphens/>
        <w:spacing w:before="120"/>
        <w:rPr>
          <w:rStyle w:val="Hyperlink"/>
          <w:rFonts w:ascii="Arial" w:hAnsi="Arial"/>
          <w:color w:val="auto"/>
          <w:spacing w:val="-3"/>
          <w:sz w:val="20"/>
          <w:szCs w:val="20"/>
        </w:rPr>
      </w:pPr>
      <w:r w:rsidRPr="00FF79D1">
        <w:rPr>
          <w:rFonts w:ascii="Arial" w:hAnsi="Arial"/>
          <w:spacing w:val="-3"/>
          <w:sz w:val="20"/>
          <w:szCs w:val="20"/>
        </w:rPr>
        <w:t xml:space="preserve">Please refer to the </w:t>
      </w:r>
      <w:r w:rsidRPr="00FF79D1">
        <w:rPr>
          <w:rStyle w:val="Hyperlink"/>
          <w:rFonts w:ascii="Arial" w:hAnsi="Arial"/>
          <w:color w:val="auto"/>
          <w:spacing w:val="-3"/>
          <w:sz w:val="20"/>
          <w:szCs w:val="20"/>
          <w:u w:val="none"/>
        </w:rPr>
        <w:t xml:space="preserve">document (named “Cytogenomic Testing Processes”) that illustrates the clinical algorithms, in flow chart format, used to indicate the circumstances under which Single Nucleotide Polymorphism Karyotyping is used to replace or supplement traditional cytogenetic analysis. This is published on the </w:t>
      </w:r>
      <w:r w:rsidRPr="00FF79D1">
        <w:rPr>
          <w:rFonts w:ascii="Arial" w:hAnsi="Arial"/>
          <w:spacing w:val="-3"/>
          <w:sz w:val="20"/>
          <w:szCs w:val="20"/>
        </w:rPr>
        <w:t xml:space="preserve">web page at </w:t>
      </w:r>
      <w:hyperlink r:id="rId28" w:history="1">
        <w:r w:rsidR="003B0082" w:rsidRPr="00E73D32">
          <w:rPr>
            <w:rStyle w:val="Hyperlink"/>
            <w:rFonts w:ascii="Arial" w:hAnsi="Arial"/>
            <w:spacing w:val="-3"/>
            <w:sz w:val="20"/>
            <w:szCs w:val="20"/>
          </w:rPr>
          <w:t>http://www.synnovis.co.uk/departments-and-laboratories/haematological-malignancy-diagnostic-centre</w:t>
        </w:r>
      </w:hyperlink>
      <w:r w:rsidRPr="00FF79D1">
        <w:rPr>
          <w:rStyle w:val="Hyperlink"/>
          <w:rFonts w:ascii="Arial" w:hAnsi="Arial"/>
          <w:color w:val="auto"/>
          <w:spacing w:val="-3"/>
          <w:sz w:val="20"/>
          <w:szCs w:val="20"/>
        </w:rPr>
        <w:t xml:space="preserve">. </w:t>
      </w:r>
      <w:r w:rsidRPr="00FF79D1">
        <w:rPr>
          <w:rStyle w:val="Hyperlink"/>
          <w:rFonts w:ascii="Arial" w:hAnsi="Arial"/>
          <w:color w:val="auto"/>
          <w:spacing w:val="-3"/>
          <w:sz w:val="20"/>
          <w:szCs w:val="20"/>
          <w:u w:val="none"/>
        </w:rPr>
        <w:t>It may also be accessed via this link</w:t>
      </w:r>
      <w:r w:rsidRPr="00FF79D1">
        <w:rPr>
          <w:rStyle w:val="Hyperlink"/>
          <w:rFonts w:ascii="Arial" w:hAnsi="Arial"/>
          <w:color w:val="auto"/>
          <w:spacing w:val="-3"/>
          <w:sz w:val="20"/>
          <w:szCs w:val="20"/>
        </w:rPr>
        <w:t xml:space="preserve"> </w:t>
      </w:r>
      <w:hyperlink r:id="rId29" w:history="1">
        <w:r w:rsidR="00A231D1" w:rsidRPr="00E73D32">
          <w:rPr>
            <w:rStyle w:val="Hyperlink"/>
            <w:rFonts w:ascii="Arial" w:hAnsi="Arial"/>
            <w:spacing w:val="-3"/>
            <w:sz w:val="20"/>
            <w:szCs w:val="20"/>
          </w:rPr>
          <w:t>http://www.synnovis.co.uk/sites/default/files/upload/SNP%20Operational%20Processes%20Ed%202-0.pdf</w:t>
        </w:r>
      </w:hyperlink>
    </w:p>
    <w:p w:rsidR="00E56818" w:rsidRPr="00FF79D1" w:rsidRDefault="00E56818" w:rsidP="00E56818">
      <w:pPr>
        <w:tabs>
          <w:tab w:val="left" w:pos="-720"/>
        </w:tabs>
        <w:suppressAutoHyphens/>
        <w:spacing w:before="120"/>
        <w:rPr>
          <w:rFonts w:ascii="Arial" w:hAnsi="Arial"/>
          <w:spacing w:val="-3"/>
          <w:sz w:val="20"/>
          <w:szCs w:val="20"/>
        </w:rPr>
      </w:pPr>
      <w:r w:rsidRPr="00FF79D1">
        <w:rPr>
          <w:rStyle w:val="Hyperlink"/>
          <w:rFonts w:ascii="Arial" w:hAnsi="Arial"/>
          <w:color w:val="auto"/>
          <w:spacing w:val="-3"/>
          <w:sz w:val="20"/>
          <w:szCs w:val="20"/>
          <w:u w:val="none"/>
        </w:rPr>
        <w:t xml:space="preserve">Please contact the Clinical Lead (see </w:t>
      </w:r>
      <w:r w:rsidRPr="00FF79D1">
        <w:rPr>
          <w:rFonts w:ascii="Arial" w:hAnsi="Arial"/>
          <w:spacing w:val="-3"/>
          <w:sz w:val="20"/>
          <w:szCs w:val="20"/>
        </w:rPr>
        <w:t>Key Personnel and Contact Details</w:t>
      </w:r>
      <w:r w:rsidRPr="00FF79D1">
        <w:rPr>
          <w:rStyle w:val="Hyperlink"/>
          <w:rFonts w:ascii="Arial" w:hAnsi="Arial"/>
          <w:color w:val="auto"/>
          <w:spacing w:val="-3"/>
          <w:sz w:val="20"/>
          <w:szCs w:val="20"/>
          <w:u w:val="none"/>
        </w:rPr>
        <w:t xml:space="preserve"> above on page 6) for further advice about SNP array karyotyping, its role in the diagnostic process and interpretation alongside other diagnostic information.</w:t>
      </w:r>
    </w:p>
    <w:p w:rsidR="00B61456" w:rsidRDefault="00B61456">
      <w:pPr>
        <w:spacing w:after="0"/>
        <w:jc w:val="left"/>
        <w:rPr>
          <w:rFonts w:ascii="Arial" w:hAnsi="Arial"/>
          <w:b/>
          <w:sz w:val="20"/>
          <w:szCs w:val="20"/>
        </w:rPr>
      </w:pPr>
      <w:r>
        <w:rPr>
          <w:rFonts w:ascii="Arial" w:hAnsi="Arial"/>
          <w:b/>
          <w:sz w:val="20"/>
          <w:szCs w:val="20"/>
        </w:rPr>
        <w:br w:type="page"/>
      </w:r>
    </w:p>
    <w:p w:rsidR="00E56818" w:rsidRPr="00FF79D1" w:rsidRDefault="00E56818" w:rsidP="00E56818">
      <w:pPr>
        <w:pStyle w:val="BodyText"/>
        <w:numPr>
          <w:ilvl w:val="0"/>
          <w:numId w:val="0"/>
        </w:numPr>
        <w:spacing w:before="60" w:after="0"/>
        <w:jc w:val="left"/>
        <w:rPr>
          <w:rFonts w:ascii="Arial" w:hAnsi="Arial"/>
          <w:b/>
          <w:sz w:val="20"/>
          <w:szCs w:val="20"/>
        </w:rPr>
      </w:pPr>
      <w:r w:rsidRPr="00FF79D1">
        <w:rPr>
          <w:rFonts w:ascii="Arial" w:hAnsi="Arial"/>
          <w:b/>
          <w:sz w:val="20"/>
          <w:szCs w:val="20"/>
        </w:rPr>
        <w:lastRenderedPageBreak/>
        <w:t>References:</w:t>
      </w:r>
    </w:p>
    <w:p w:rsidR="00E56818" w:rsidRPr="00FF79D1" w:rsidRDefault="00E56818" w:rsidP="00E56818">
      <w:pPr>
        <w:overflowPunct w:val="0"/>
        <w:autoSpaceDE w:val="0"/>
        <w:autoSpaceDN w:val="0"/>
        <w:adjustRightInd w:val="0"/>
        <w:spacing w:before="60" w:after="0"/>
        <w:textAlignment w:val="baseline"/>
        <w:rPr>
          <w:rFonts w:ascii="Arial" w:hAnsi="Arial"/>
          <w:sz w:val="20"/>
          <w:szCs w:val="20"/>
        </w:rPr>
      </w:pPr>
      <w:r w:rsidRPr="00FF79D1">
        <w:rPr>
          <w:rFonts w:ascii="Arial" w:hAnsi="Arial"/>
          <w:sz w:val="20"/>
          <w:szCs w:val="20"/>
        </w:rPr>
        <w:t>Primdahl H, Wikman FP, von der Maase H, Zhou XG, Wolf H, Orntoft TF. Allelic imbalances in human bladder cancer: genome-wide detection with high-density single-nucleotide polymorphism arrays. J Natl Cancer Inst. 2002 Feb 6;94(3):216-23.</w:t>
      </w:r>
    </w:p>
    <w:p w:rsidR="00E56818" w:rsidRPr="00FF79D1" w:rsidRDefault="00E56818" w:rsidP="00E56818">
      <w:pPr>
        <w:overflowPunct w:val="0"/>
        <w:autoSpaceDE w:val="0"/>
        <w:autoSpaceDN w:val="0"/>
        <w:adjustRightInd w:val="0"/>
        <w:spacing w:before="60" w:after="0"/>
        <w:textAlignment w:val="baseline"/>
        <w:rPr>
          <w:rFonts w:ascii="Arial" w:hAnsi="Arial"/>
          <w:sz w:val="20"/>
          <w:szCs w:val="20"/>
        </w:rPr>
      </w:pPr>
      <w:r w:rsidRPr="00FF79D1">
        <w:rPr>
          <w:rFonts w:ascii="Arial" w:hAnsi="Arial"/>
          <w:sz w:val="20"/>
          <w:szCs w:val="20"/>
        </w:rPr>
        <w:t>Mohamedali, A., et al. (2007). "Prevalence and prognostic significance of allelic imbalance by single-nucleotide polymorphism analysis in low-risk myelodysplastic syndromes." Blood 110(9): 3365-3373.</w:t>
      </w:r>
    </w:p>
    <w:p w:rsidR="00E56818" w:rsidRPr="00FF79D1" w:rsidRDefault="00E56818" w:rsidP="00E56818">
      <w:pPr>
        <w:overflowPunct w:val="0"/>
        <w:autoSpaceDE w:val="0"/>
        <w:autoSpaceDN w:val="0"/>
        <w:adjustRightInd w:val="0"/>
        <w:spacing w:before="60" w:after="0"/>
        <w:textAlignment w:val="baseline"/>
        <w:rPr>
          <w:rFonts w:ascii="Arial" w:hAnsi="Arial"/>
          <w:sz w:val="20"/>
          <w:szCs w:val="20"/>
        </w:rPr>
      </w:pPr>
      <w:r w:rsidRPr="00FF79D1">
        <w:rPr>
          <w:rFonts w:ascii="Arial" w:hAnsi="Arial"/>
          <w:sz w:val="20"/>
          <w:szCs w:val="20"/>
        </w:rPr>
        <w:t>Mohamedali, A. M., et al. (2009). "Novel TET2 mutations associated with UPD4q24 in myelodysplastic syndrome." J Clin Oncol 27(24): 4002-4006.</w:t>
      </w:r>
    </w:p>
    <w:p w:rsidR="00E56818" w:rsidRPr="00FF79D1" w:rsidRDefault="00E56818" w:rsidP="00E56818">
      <w:pPr>
        <w:overflowPunct w:val="0"/>
        <w:autoSpaceDE w:val="0"/>
        <w:autoSpaceDN w:val="0"/>
        <w:adjustRightInd w:val="0"/>
        <w:spacing w:before="60" w:after="0"/>
        <w:textAlignment w:val="baseline"/>
        <w:rPr>
          <w:rFonts w:ascii="Arial" w:hAnsi="Arial"/>
          <w:sz w:val="20"/>
          <w:szCs w:val="20"/>
        </w:rPr>
      </w:pPr>
      <w:r w:rsidRPr="00FF79D1">
        <w:rPr>
          <w:rFonts w:ascii="Arial" w:hAnsi="Arial"/>
          <w:sz w:val="20"/>
          <w:szCs w:val="20"/>
        </w:rPr>
        <w:t>Tiu, R. V., et al. (2011). "Prognostic impact of SNP array karyotyping in myelodysplastic syndromes and related myeloid malignancies." Blood 117(17): 4552-4560.</w:t>
      </w:r>
    </w:p>
    <w:p w:rsidR="00E56818" w:rsidRPr="00FF79D1" w:rsidRDefault="00E56818" w:rsidP="00E56818">
      <w:pPr>
        <w:overflowPunct w:val="0"/>
        <w:autoSpaceDE w:val="0"/>
        <w:autoSpaceDN w:val="0"/>
        <w:adjustRightInd w:val="0"/>
        <w:spacing w:before="60" w:after="0"/>
        <w:textAlignment w:val="baseline"/>
        <w:rPr>
          <w:rFonts w:ascii="Arial" w:hAnsi="Arial"/>
          <w:sz w:val="20"/>
          <w:szCs w:val="20"/>
        </w:rPr>
      </w:pPr>
      <w:r w:rsidRPr="00FF79D1">
        <w:rPr>
          <w:rFonts w:ascii="Arial" w:hAnsi="Arial"/>
          <w:sz w:val="20"/>
          <w:szCs w:val="20"/>
        </w:rPr>
        <w:t>Jerez, A., et al. (2012). "Loss of heterozygosity in 7q myeloid disorders: clinical associations and genomic pathogenesis." Blood 119(25): 6109-6117.</w:t>
      </w:r>
    </w:p>
    <w:p w:rsidR="00E56818" w:rsidRPr="00FF79D1" w:rsidRDefault="00E56818" w:rsidP="00E56818">
      <w:pPr>
        <w:overflowPunct w:val="0"/>
        <w:autoSpaceDE w:val="0"/>
        <w:autoSpaceDN w:val="0"/>
        <w:adjustRightInd w:val="0"/>
        <w:spacing w:before="60" w:after="0"/>
        <w:textAlignment w:val="baseline"/>
        <w:rPr>
          <w:rFonts w:ascii="Arial" w:hAnsi="Arial"/>
          <w:sz w:val="20"/>
          <w:szCs w:val="20"/>
        </w:rPr>
      </w:pPr>
      <w:r w:rsidRPr="00FF79D1">
        <w:rPr>
          <w:rFonts w:ascii="Arial" w:hAnsi="Arial"/>
          <w:sz w:val="20"/>
          <w:szCs w:val="20"/>
        </w:rPr>
        <w:t>Kulasekararaj, A. G., et al. (2013). "Recent advances in understanding the molecular pathogenesis of myelodysplastic syndromes." Br J Haematol 162(5): 587-605.</w:t>
      </w:r>
    </w:p>
    <w:p w:rsidR="00E56818" w:rsidRPr="00FF79D1" w:rsidRDefault="00E56818" w:rsidP="00E56818">
      <w:pPr>
        <w:overflowPunct w:val="0"/>
        <w:autoSpaceDE w:val="0"/>
        <w:autoSpaceDN w:val="0"/>
        <w:adjustRightInd w:val="0"/>
        <w:spacing w:before="60" w:after="0"/>
        <w:textAlignment w:val="baseline"/>
        <w:rPr>
          <w:rFonts w:ascii="Arial" w:hAnsi="Arial"/>
          <w:sz w:val="20"/>
          <w:szCs w:val="20"/>
        </w:rPr>
      </w:pPr>
      <w:r w:rsidRPr="00FF79D1">
        <w:rPr>
          <w:rFonts w:ascii="Arial" w:hAnsi="Arial"/>
          <w:sz w:val="20"/>
          <w:szCs w:val="20"/>
        </w:rPr>
        <w:t>Mohamedali, A. M., et al. (2013). "Utility of peripheral blood for cytogenetic and mutation analysis in myelodysplastic syndrome." Blood 122(4): 567-570.</w:t>
      </w:r>
    </w:p>
    <w:p w:rsidR="00E56818" w:rsidRPr="00FF79D1" w:rsidRDefault="00E56818" w:rsidP="00E56818">
      <w:pPr>
        <w:overflowPunct w:val="0"/>
        <w:autoSpaceDE w:val="0"/>
        <w:autoSpaceDN w:val="0"/>
        <w:adjustRightInd w:val="0"/>
        <w:spacing w:before="60" w:after="0"/>
        <w:textAlignment w:val="baseline"/>
        <w:rPr>
          <w:rFonts w:ascii="Arial" w:hAnsi="Arial"/>
          <w:sz w:val="20"/>
          <w:szCs w:val="20"/>
        </w:rPr>
      </w:pPr>
      <w:r w:rsidRPr="00FF79D1">
        <w:rPr>
          <w:rFonts w:ascii="Arial" w:hAnsi="Arial"/>
          <w:sz w:val="20"/>
          <w:szCs w:val="20"/>
        </w:rPr>
        <w:t>Mohamedali, A. M., et al. (2015). "High concordance of genomic and cytogenetic aberrations between peripheral blood and bone marrow in myelodysplastic syndrome (MDS)." Leukemia 29(9): 1928-1938.</w:t>
      </w:r>
    </w:p>
    <w:p w:rsidR="00E56818" w:rsidRPr="00FF79D1" w:rsidRDefault="00E56818" w:rsidP="00E56818">
      <w:pPr>
        <w:overflowPunct w:val="0"/>
        <w:autoSpaceDE w:val="0"/>
        <w:autoSpaceDN w:val="0"/>
        <w:adjustRightInd w:val="0"/>
        <w:spacing w:before="60" w:after="0"/>
        <w:textAlignment w:val="baseline"/>
        <w:rPr>
          <w:rFonts w:ascii="Arial" w:hAnsi="Arial"/>
        </w:rPr>
      </w:pPr>
    </w:p>
    <w:p w:rsidR="00E56818" w:rsidRPr="00FF79D1" w:rsidRDefault="00E56818" w:rsidP="00E56818">
      <w:pPr>
        <w:pStyle w:val="Heading2"/>
        <w:widowControl w:val="0"/>
        <w:numPr>
          <w:ilvl w:val="0"/>
          <w:numId w:val="0"/>
        </w:numPr>
        <w:overflowPunct w:val="0"/>
        <w:autoSpaceDE w:val="0"/>
        <w:autoSpaceDN w:val="0"/>
        <w:adjustRightInd w:val="0"/>
        <w:spacing w:before="0" w:after="0"/>
        <w:textAlignment w:val="baseline"/>
      </w:pPr>
      <w:bookmarkStart w:id="58" w:name="_Toc114849244"/>
      <w:r w:rsidRPr="00FF79D1">
        <w:t>7.10</w:t>
      </w:r>
      <w:r w:rsidRPr="00FF79D1">
        <w:tab/>
        <w:t>Translocation assays</w:t>
      </w:r>
      <w:bookmarkEnd w:id="58"/>
    </w:p>
    <w:p w:rsidR="00E56818" w:rsidRPr="00FF79D1" w:rsidRDefault="00E56818" w:rsidP="00E56818">
      <w:pPr>
        <w:pStyle w:val="Heading2"/>
        <w:widowControl w:val="0"/>
        <w:numPr>
          <w:ilvl w:val="0"/>
          <w:numId w:val="0"/>
        </w:numPr>
        <w:overflowPunct w:val="0"/>
        <w:autoSpaceDE w:val="0"/>
        <w:autoSpaceDN w:val="0"/>
        <w:adjustRightInd w:val="0"/>
        <w:spacing w:before="0" w:after="0"/>
        <w:textAlignment w:val="baseline"/>
      </w:pPr>
      <w:bookmarkStart w:id="59" w:name="_Toc114849245"/>
      <w:r w:rsidRPr="00FF79D1">
        <w:t>BCR::ABL1 t(9;22)</w:t>
      </w:r>
      <w:bookmarkEnd w:id="59"/>
    </w:p>
    <w:p w:rsidR="00E56818" w:rsidRPr="00FF79D1" w:rsidRDefault="00E56818" w:rsidP="00E56818">
      <w:pPr>
        <w:rPr>
          <w:rFonts w:ascii="Arial" w:hAnsi="Arial"/>
          <w:sz w:val="20"/>
          <w:szCs w:val="20"/>
        </w:rPr>
      </w:pPr>
      <w:r w:rsidRPr="00FF79D1">
        <w:rPr>
          <w:rFonts w:ascii="Arial" w:hAnsi="Arial"/>
          <w:sz w:val="20"/>
          <w:szCs w:val="20"/>
        </w:rPr>
        <w:t xml:space="preserve">Chronic Myeloid Leukaemia (CML) accounts for 15-20% of adult leukaemia’s. CML is a clonal haematopoietic stem cell malignancy that results in the formation of a BCR::ABL1 cytoplasmic fusion oncoprotein as the result of the reciprocal translocation between the long arms of chromosome 9 and chromosome 22 t(9;22) The disease is characterized by excess proliferation of myeloid progenitors that retain the capacity for differentiation during the stable or chronic phase of the disease. In addition, the BCR::ABL1 fusion is also seen in ALL albeit more rarely. In this disease the BCR::ABL1 fusion is the result of a slightly different break point and results in the p190 BCR::ABL1 fusion protein. </w:t>
      </w:r>
    </w:p>
    <w:p w:rsidR="00E56818" w:rsidRPr="00FF79D1" w:rsidRDefault="00E56818" w:rsidP="00E56818">
      <w:pPr>
        <w:rPr>
          <w:rFonts w:ascii="Arial" w:hAnsi="Arial"/>
          <w:sz w:val="20"/>
          <w:szCs w:val="20"/>
        </w:rPr>
      </w:pPr>
      <w:r w:rsidRPr="00FF79D1">
        <w:rPr>
          <w:rFonts w:ascii="Arial" w:hAnsi="Arial"/>
          <w:sz w:val="20"/>
          <w:szCs w:val="20"/>
        </w:rPr>
        <w:t>In addition, several rare BCR::ABL1 variant fusion genes have been described, such as the variants that result in the p195, p200, p225 and P230 BCR::ABL1 fusion proteins. We utilise a multiplex PCR which includes primer combinations that are able to co-amplify 14 different BCR::ABL1 fusion transcripts (P210 transcripts e13a2, e13a3, e14a2 &amp; e14a3; P190 transcripts e1a2 &amp; e1a3; P230 transcripts e19a2 &amp; e19a3; P195 transcripts e6a2 &amp; e6a3; P200 transcripts e8a2 &amp; e8a3; P225 transcripts e18a2 &amp; e18a3) and the internal loading control (BCR) in a single tube. The fragments generated by PCR will be run by capillary electrophoresis on the 3130 XL analyser and sized using a size standard to determine the exact length of the fragments generated, thus determining the specific BCR::ABL1 transcript.</w:t>
      </w:r>
    </w:p>
    <w:p w:rsidR="00E56818" w:rsidRPr="00FF79D1" w:rsidRDefault="00E56818" w:rsidP="00E56818">
      <w:pPr>
        <w:rPr>
          <w:rFonts w:ascii="Arial" w:hAnsi="Arial"/>
          <w:sz w:val="20"/>
          <w:szCs w:val="20"/>
        </w:rPr>
      </w:pPr>
      <w:r w:rsidRPr="00FF79D1">
        <w:rPr>
          <w:rFonts w:ascii="Arial" w:hAnsi="Arial"/>
          <w:sz w:val="20"/>
          <w:szCs w:val="20"/>
        </w:rPr>
        <w:t>Once the BCR::ABL1 transcript is identified a quantitative PCR (Q-PCR) utilizing the Applied Biosystems StepOne Plus platform is used for the highly sensitive quantitative detection of BCR::ABL1 fusion transcripts (p210 and p190) in order to monitor disease progression and residual disease. The procedure used at KCH is harmonized to the Europe Against Cancer (EAC) guidelines to ensure that we provide highly accurate and comparable BCR::ABL1 / ABL1 transcript ratios. In addition, we are one of a small group of laboratories in the UK currently engaged with the regional genetics laboratory to obtain an international conversion factor. This will enable our results to be directly compared with those of any other participating laboratory across the world. This provides even greater consistency which is desirable particularly in multi centre drug trials. Our conversion factor exercise will be completed in early 2010. A separate Q-PCR assay is used to detect the p190 variant. The rarer BCR::ABL1 variants are forwarded on to the Hammersmith Hospital laboratory whom have expertise in monitoring these transcripts.</w:t>
      </w:r>
    </w:p>
    <w:p w:rsidR="00E56818" w:rsidRPr="00FF79D1" w:rsidRDefault="00E56818" w:rsidP="00E56818">
      <w:pPr>
        <w:spacing w:after="0"/>
        <w:rPr>
          <w:rFonts w:ascii="Arial" w:hAnsi="Arial"/>
          <w:sz w:val="20"/>
          <w:szCs w:val="20"/>
        </w:rPr>
      </w:pPr>
      <w:r w:rsidRPr="00FF79D1">
        <w:rPr>
          <w:rFonts w:ascii="Arial" w:hAnsi="Arial"/>
          <w:sz w:val="20"/>
          <w:szCs w:val="20"/>
        </w:rPr>
        <w:t xml:space="preserve">Persistent Q-PCR positivity after treatment is indicative of possible drug resistance and predictive of clinical relapse. A molecularly negative result is associated with disease free survival. Patients </w:t>
      </w:r>
      <w:r w:rsidRPr="00FF79D1">
        <w:rPr>
          <w:rFonts w:ascii="Arial" w:hAnsi="Arial"/>
          <w:sz w:val="20"/>
          <w:szCs w:val="20"/>
        </w:rPr>
        <w:lastRenderedPageBreak/>
        <w:t xml:space="preserve">who convert to Q-PCR positivity after a negative result are at high risk of relapse. These patients may be candidates for 2nd and 3rd generation tyrosine kinase inhibitors. Failure to respond optimally to Imatinib can be caused by mutation in the p-loop domain of the translocated ABL kinase gene. Our repertoire of tests within the LMH also includes </w:t>
      </w:r>
      <w:r w:rsidRPr="00FF79D1">
        <w:rPr>
          <w:rFonts w:ascii="Arial" w:hAnsi="Arial"/>
          <w:i/>
          <w:sz w:val="20"/>
          <w:szCs w:val="20"/>
        </w:rPr>
        <w:t>abl</w:t>
      </w:r>
      <w:r w:rsidRPr="00FF79D1">
        <w:rPr>
          <w:rFonts w:ascii="Arial" w:hAnsi="Arial"/>
          <w:sz w:val="20"/>
          <w:szCs w:val="20"/>
        </w:rPr>
        <w:t xml:space="preserve"> kinase p-loop mutation screening which can be carried out on samples previously sent to the laboratory for BCR::ABL1 monitoring by request</w:t>
      </w:r>
    </w:p>
    <w:p w:rsidR="00E56818" w:rsidRPr="00FF79D1" w:rsidRDefault="00E56818" w:rsidP="00E56818">
      <w:pPr>
        <w:spacing w:after="0"/>
        <w:rPr>
          <w:rFonts w:ascii="Arial" w:hAnsi="Arial"/>
        </w:rPr>
      </w:pPr>
    </w:p>
    <w:p w:rsidR="00E56818" w:rsidRPr="00FF79D1" w:rsidRDefault="00E56818" w:rsidP="00E56818">
      <w:pPr>
        <w:pStyle w:val="Heading2"/>
        <w:widowControl w:val="0"/>
        <w:numPr>
          <w:ilvl w:val="0"/>
          <w:numId w:val="0"/>
        </w:numPr>
        <w:overflowPunct w:val="0"/>
        <w:autoSpaceDE w:val="0"/>
        <w:autoSpaceDN w:val="0"/>
        <w:adjustRightInd w:val="0"/>
        <w:spacing w:before="0" w:after="0"/>
        <w:textAlignment w:val="baseline"/>
      </w:pPr>
      <w:bookmarkStart w:id="60" w:name="_Toc114849246"/>
      <w:r w:rsidRPr="00FF79D1">
        <w:t>RUNXI::RUNXTI t(8;21)</w:t>
      </w:r>
      <w:bookmarkEnd w:id="60"/>
    </w:p>
    <w:p w:rsidR="00E56818" w:rsidRPr="00FF79D1" w:rsidRDefault="00E56818" w:rsidP="00E56818">
      <w:pPr>
        <w:rPr>
          <w:rFonts w:ascii="Arial" w:hAnsi="Arial"/>
          <w:sz w:val="20"/>
          <w:szCs w:val="20"/>
        </w:rPr>
      </w:pPr>
      <w:r w:rsidRPr="00FF79D1">
        <w:rPr>
          <w:rFonts w:ascii="Arial" w:hAnsi="Arial"/>
          <w:sz w:val="20"/>
          <w:szCs w:val="20"/>
        </w:rPr>
        <w:t>The t(8;21) translocation is detected in approximately 7% of de novo AML (20-40% in the M2 subtype). The fusion gene encodes a chimeric protein, which blocks myeloid differentiation and may be important in myeloid leukaemogenesis. AML patients with t(8;21) have a relatively good prognosis.</w:t>
      </w:r>
    </w:p>
    <w:p w:rsidR="00E56818" w:rsidRPr="00FF79D1" w:rsidRDefault="00E56818" w:rsidP="00E56818">
      <w:pPr>
        <w:rPr>
          <w:rFonts w:ascii="Arial" w:hAnsi="Arial"/>
          <w:sz w:val="20"/>
          <w:szCs w:val="20"/>
        </w:rPr>
      </w:pPr>
      <w:r w:rsidRPr="00FF79D1">
        <w:rPr>
          <w:rFonts w:ascii="Arial" w:hAnsi="Arial"/>
          <w:sz w:val="20"/>
          <w:szCs w:val="20"/>
        </w:rPr>
        <w:t>This PCR reaction is designed to detect the fusion transcript AML1::MTG8(ETO) in t(8:21) positive AML patients at presentation and for accurate monitoring of residual disease level to identify patients ate high risk of relapse.</w:t>
      </w:r>
    </w:p>
    <w:p w:rsidR="00E56818" w:rsidRPr="00FF79D1" w:rsidRDefault="00E56818" w:rsidP="00E56818">
      <w:pPr>
        <w:rPr>
          <w:rFonts w:ascii="Arial" w:hAnsi="Arial"/>
          <w:sz w:val="20"/>
          <w:szCs w:val="20"/>
        </w:rPr>
      </w:pPr>
      <w:r w:rsidRPr="00FF79D1">
        <w:rPr>
          <w:rFonts w:ascii="Arial" w:hAnsi="Arial"/>
          <w:b/>
          <w:sz w:val="20"/>
          <w:szCs w:val="20"/>
        </w:rPr>
        <w:t>References</w:t>
      </w:r>
      <w:r w:rsidRPr="00FF79D1">
        <w:rPr>
          <w:rFonts w:ascii="Arial" w:hAnsi="Arial"/>
          <w:sz w:val="20"/>
          <w:szCs w:val="20"/>
        </w:rPr>
        <w:t>: Tobal K, Yin JA. Monitoring of minimal residual disease by quantitative reverse transcriptase-polymerase chain reaction for AML1::MTG8 transcripts in AML-M2 with t(8; 21). Blood. 1996 Nov 15;88(10):3704-9.</w:t>
      </w:r>
    </w:p>
    <w:p w:rsidR="00E56818" w:rsidRPr="00FF79D1" w:rsidRDefault="00E56818" w:rsidP="00E56818">
      <w:pPr>
        <w:rPr>
          <w:rFonts w:ascii="Arial" w:hAnsi="Arial"/>
          <w:sz w:val="20"/>
          <w:szCs w:val="20"/>
        </w:rPr>
      </w:pPr>
      <w:r w:rsidRPr="00FF79D1">
        <w:rPr>
          <w:rFonts w:ascii="Arial" w:hAnsi="Arial"/>
          <w:sz w:val="20"/>
          <w:szCs w:val="20"/>
        </w:rPr>
        <w:t>Tobal K., et al (2000) Molecular quantitation of minimal residual disease in acute myeloid leukemia with t(8;21) can identify patients in durable remission and predict clinical relapse. Blood. 2000 Feb 1;95(3):815-9.</w:t>
      </w:r>
    </w:p>
    <w:p w:rsidR="00E56818" w:rsidRPr="00FF79D1" w:rsidRDefault="00E56818" w:rsidP="00E56818">
      <w:pPr>
        <w:spacing w:after="0"/>
        <w:rPr>
          <w:rFonts w:ascii="Arial" w:hAnsi="Arial"/>
          <w:sz w:val="20"/>
          <w:szCs w:val="20"/>
        </w:rPr>
      </w:pPr>
      <w:r w:rsidRPr="00FF79D1">
        <w:rPr>
          <w:rFonts w:ascii="Arial" w:hAnsi="Arial"/>
          <w:sz w:val="20"/>
          <w:szCs w:val="20"/>
        </w:rPr>
        <w:t>Van Donegan J.J et al 1999 Standardized RT-PCR analysis of fusion gene transcripts from chromosome aberrations in acute leukemia for detection of minimal residual disease in acute leukemia. Report of the BIOMED-1 Concerted Action: investigation of minimal residual disease in acute leukemia. Leukemia 13 1901-1928</w:t>
      </w:r>
    </w:p>
    <w:p w:rsidR="00E56818" w:rsidRPr="00FF79D1" w:rsidRDefault="00E56818" w:rsidP="00E56818">
      <w:pPr>
        <w:spacing w:after="0"/>
        <w:rPr>
          <w:rFonts w:ascii="Arial" w:hAnsi="Arial"/>
        </w:rPr>
      </w:pPr>
    </w:p>
    <w:p w:rsidR="00E56818" w:rsidRPr="00FF79D1" w:rsidRDefault="00E56818" w:rsidP="00E56818">
      <w:pPr>
        <w:pStyle w:val="Heading2"/>
        <w:widowControl w:val="0"/>
        <w:numPr>
          <w:ilvl w:val="0"/>
          <w:numId w:val="0"/>
        </w:numPr>
        <w:overflowPunct w:val="0"/>
        <w:autoSpaceDE w:val="0"/>
        <w:autoSpaceDN w:val="0"/>
        <w:adjustRightInd w:val="0"/>
        <w:spacing w:before="0" w:after="0"/>
        <w:textAlignment w:val="baseline"/>
      </w:pPr>
      <w:bookmarkStart w:id="61" w:name="_Toc114849247"/>
      <w:r w:rsidRPr="00FF79D1">
        <w:t>PML::RARA; t(15;17)</w:t>
      </w:r>
      <w:bookmarkEnd w:id="61"/>
    </w:p>
    <w:p w:rsidR="00E56818" w:rsidRPr="00FF79D1" w:rsidRDefault="00E56818" w:rsidP="00E56818">
      <w:pPr>
        <w:rPr>
          <w:rFonts w:ascii="Arial" w:hAnsi="Arial"/>
          <w:sz w:val="20"/>
          <w:szCs w:val="20"/>
        </w:rPr>
      </w:pPr>
      <w:r w:rsidRPr="00FF79D1">
        <w:rPr>
          <w:rFonts w:ascii="Arial" w:hAnsi="Arial"/>
          <w:sz w:val="20"/>
          <w:szCs w:val="20"/>
        </w:rPr>
        <w:t>This PCR reaction is designed to detect the fusion transcript PMLRARA in patients with APML at presentation and for monitoring the disease.</w:t>
      </w:r>
    </w:p>
    <w:p w:rsidR="00E56818" w:rsidRPr="00FF79D1" w:rsidRDefault="00E56818" w:rsidP="00E56818">
      <w:pPr>
        <w:rPr>
          <w:rFonts w:ascii="Arial" w:hAnsi="Arial"/>
          <w:sz w:val="20"/>
          <w:szCs w:val="20"/>
        </w:rPr>
      </w:pPr>
      <w:r w:rsidRPr="00FF79D1">
        <w:rPr>
          <w:rFonts w:ascii="Arial" w:hAnsi="Arial"/>
          <w:sz w:val="20"/>
          <w:szCs w:val="20"/>
        </w:rPr>
        <w:t>The t(15;17) chromosomal translocation is a specific characteristic associated with acute promyelocytic leukaemia (APL, AML –M3). Two chimeric genes PML-RARA and RARA::PML are detected in 100% and 40% of AML patients respectively. The PML breakpoints cluster in three regions intron 6 BCR-1 (L-long-form), exon 6 BCR-2 (V-variable-form) or intron 3 BCR-3 (S-short-form) that fuse with the 3 prime portion of RARA intron 2. The isoforms occur in 55-60%, 35-40% and 8% of APL patients respectively. Several groups have reported that molecular monitoring of PML::RARA to evaluate MRD is clinically valuable in APL.</w:t>
      </w:r>
    </w:p>
    <w:p w:rsidR="00E56818" w:rsidRPr="00FF79D1" w:rsidRDefault="00E56818" w:rsidP="00E56818">
      <w:pPr>
        <w:rPr>
          <w:rFonts w:ascii="Arial" w:hAnsi="Arial"/>
          <w:sz w:val="20"/>
          <w:szCs w:val="20"/>
        </w:rPr>
      </w:pPr>
      <w:r w:rsidRPr="00FF79D1">
        <w:rPr>
          <w:rFonts w:ascii="Arial" w:hAnsi="Arial"/>
          <w:sz w:val="20"/>
          <w:szCs w:val="20"/>
        </w:rPr>
        <w:t>RT-PCR positivity after treatment is predictive of clinical relapse and a negative result is associated with disease free survival. Patients who convert to PCR positivity after a negative result are at high risk of relapse.</w:t>
      </w:r>
    </w:p>
    <w:p w:rsidR="00E56818" w:rsidRPr="00FF79D1" w:rsidRDefault="00E56818" w:rsidP="00E56818">
      <w:pPr>
        <w:rPr>
          <w:rFonts w:ascii="Arial" w:hAnsi="Arial"/>
          <w:sz w:val="20"/>
          <w:szCs w:val="20"/>
        </w:rPr>
      </w:pPr>
      <w:r w:rsidRPr="00FF79D1">
        <w:rPr>
          <w:rFonts w:ascii="Arial" w:hAnsi="Arial"/>
          <w:b/>
          <w:sz w:val="20"/>
          <w:szCs w:val="20"/>
        </w:rPr>
        <w:t>References:</w:t>
      </w:r>
    </w:p>
    <w:p w:rsidR="00E56818" w:rsidRPr="00FF79D1" w:rsidRDefault="00E56818" w:rsidP="00E56818">
      <w:pPr>
        <w:rPr>
          <w:rFonts w:ascii="Arial" w:hAnsi="Arial"/>
          <w:sz w:val="20"/>
          <w:szCs w:val="20"/>
        </w:rPr>
      </w:pPr>
      <w:r w:rsidRPr="00FF79D1">
        <w:rPr>
          <w:rFonts w:ascii="Arial" w:hAnsi="Arial"/>
          <w:sz w:val="20"/>
          <w:szCs w:val="20"/>
        </w:rPr>
        <w:t>Tobal et al (2001). Monitoring minimal residual disease and predicting relapse in APL by quantitating PML::RAR alpha transcripts with a sensitive competitive RT-PCR method. Leukemia. 15(7):1060-5.</w:t>
      </w:r>
    </w:p>
    <w:p w:rsidR="00E56818" w:rsidRPr="00FF79D1" w:rsidRDefault="00E56818" w:rsidP="00E56818">
      <w:pPr>
        <w:rPr>
          <w:rFonts w:ascii="Arial" w:hAnsi="Arial"/>
          <w:sz w:val="20"/>
          <w:szCs w:val="20"/>
        </w:rPr>
      </w:pPr>
      <w:r w:rsidRPr="00FF79D1">
        <w:rPr>
          <w:rFonts w:ascii="Arial" w:hAnsi="Arial"/>
          <w:sz w:val="20"/>
          <w:szCs w:val="20"/>
        </w:rPr>
        <w:t>Lo Coco F et al 1992 Molecular evaluation of residual disease as a predictor of relapse in acute promyelocytic leukemia. Lancet 340 1437-1438</w:t>
      </w:r>
    </w:p>
    <w:p w:rsidR="00E56818" w:rsidRPr="00FF79D1" w:rsidRDefault="00E56818" w:rsidP="00E56818">
      <w:pPr>
        <w:rPr>
          <w:rFonts w:ascii="Arial" w:hAnsi="Arial"/>
          <w:sz w:val="20"/>
          <w:szCs w:val="20"/>
        </w:rPr>
      </w:pPr>
      <w:r w:rsidRPr="00FF79D1">
        <w:rPr>
          <w:rFonts w:ascii="Arial" w:hAnsi="Arial"/>
          <w:sz w:val="20"/>
          <w:szCs w:val="20"/>
        </w:rPr>
        <w:t>Gallagher RE et al. 2003. Quantitative real-time RT-PCR analysis of PML::RAR alpha mRNA in acute promyelocytic leukemia: assessment of prognostic significance in adult patients from intergroup protocol 0129. Blood;101(7):2521-8.</w:t>
      </w:r>
    </w:p>
    <w:p w:rsidR="00E56818" w:rsidRPr="00FF79D1" w:rsidRDefault="00E56818" w:rsidP="00E56818">
      <w:pPr>
        <w:rPr>
          <w:rFonts w:ascii="Arial" w:hAnsi="Arial"/>
          <w:sz w:val="20"/>
          <w:szCs w:val="20"/>
        </w:rPr>
      </w:pPr>
      <w:r w:rsidRPr="00FF79D1">
        <w:rPr>
          <w:rFonts w:ascii="Arial" w:hAnsi="Arial"/>
          <w:sz w:val="20"/>
          <w:szCs w:val="20"/>
        </w:rPr>
        <w:t>Grimwade 2002. The significance of minimal residual disease in patients with t(15;17).</w:t>
      </w:r>
    </w:p>
    <w:p w:rsidR="00E56818" w:rsidRPr="00FF79D1" w:rsidRDefault="00E56818" w:rsidP="00E56818">
      <w:pPr>
        <w:spacing w:after="0"/>
        <w:rPr>
          <w:rFonts w:ascii="Arial" w:hAnsi="Arial"/>
          <w:sz w:val="20"/>
          <w:szCs w:val="20"/>
        </w:rPr>
      </w:pPr>
      <w:r w:rsidRPr="00FF79D1">
        <w:rPr>
          <w:rFonts w:ascii="Arial" w:hAnsi="Arial"/>
          <w:sz w:val="20"/>
          <w:szCs w:val="20"/>
        </w:rPr>
        <w:t>Best Pract Res Clin Haematol;15(1):137-58. Review.</w:t>
      </w:r>
    </w:p>
    <w:p w:rsidR="00E56818" w:rsidRPr="00FF79D1" w:rsidRDefault="00E56818" w:rsidP="00E56818">
      <w:pPr>
        <w:spacing w:after="0"/>
        <w:rPr>
          <w:rFonts w:ascii="Arial" w:hAnsi="Arial"/>
        </w:rPr>
      </w:pPr>
    </w:p>
    <w:p w:rsidR="00E56818" w:rsidRPr="00FF79D1" w:rsidRDefault="00E56818" w:rsidP="00E56818">
      <w:pPr>
        <w:pStyle w:val="Heading2"/>
        <w:widowControl w:val="0"/>
        <w:numPr>
          <w:ilvl w:val="0"/>
          <w:numId w:val="0"/>
        </w:numPr>
        <w:overflowPunct w:val="0"/>
        <w:autoSpaceDE w:val="0"/>
        <w:autoSpaceDN w:val="0"/>
        <w:adjustRightInd w:val="0"/>
        <w:spacing w:before="0" w:after="0"/>
        <w:textAlignment w:val="baseline"/>
      </w:pPr>
      <w:bookmarkStart w:id="62" w:name="_Toc114849248"/>
      <w:r w:rsidRPr="00FF79D1">
        <w:lastRenderedPageBreak/>
        <w:t>CBFB::MYH11 INV(16)</w:t>
      </w:r>
      <w:bookmarkEnd w:id="62"/>
    </w:p>
    <w:p w:rsidR="00E56818" w:rsidRPr="00FF79D1" w:rsidRDefault="00E56818" w:rsidP="00E56818">
      <w:pPr>
        <w:rPr>
          <w:rFonts w:ascii="Arial" w:hAnsi="Arial"/>
          <w:sz w:val="20"/>
          <w:szCs w:val="20"/>
        </w:rPr>
      </w:pPr>
      <w:r w:rsidRPr="00FF79D1">
        <w:rPr>
          <w:rFonts w:ascii="Arial" w:hAnsi="Arial"/>
          <w:sz w:val="20"/>
          <w:szCs w:val="20"/>
        </w:rPr>
        <w:t>This PCR reaction is designed to detect this fusion transcript in patients with AML at presentation and for monitoring the disease.</w:t>
      </w:r>
    </w:p>
    <w:p w:rsidR="00E56818" w:rsidRPr="00FF79D1" w:rsidRDefault="00E56818" w:rsidP="00E56818">
      <w:pPr>
        <w:rPr>
          <w:rFonts w:ascii="Arial" w:hAnsi="Arial"/>
          <w:sz w:val="20"/>
          <w:szCs w:val="20"/>
        </w:rPr>
      </w:pPr>
      <w:r w:rsidRPr="00FF79D1">
        <w:rPr>
          <w:rFonts w:ascii="Arial" w:hAnsi="Arial"/>
          <w:sz w:val="20"/>
          <w:szCs w:val="20"/>
        </w:rPr>
        <w:t>The CBFB gene encodes a Beta subunit of translocation factor, CBFB, and alterations of CBFB are closely associated with AML. The MYH11 gene encodes the smooth muscle myosin heavy chain. The chimeric gene contains the 5 prime region of CBFB gene fused to the major region of MYH11 gene. The fusion protein impairs neutrophil development and alterations in the CBFB gene can contribute to the genesis of myelodysplasia.</w:t>
      </w:r>
    </w:p>
    <w:p w:rsidR="00E56818" w:rsidRPr="00FF79D1" w:rsidRDefault="00E56818" w:rsidP="00E56818">
      <w:pPr>
        <w:rPr>
          <w:rFonts w:ascii="Arial" w:hAnsi="Arial"/>
          <w:sz w:val="20"/>
          <w:szCs w:val="20"/>
        </w:rPr>
      </w:pPr>
      <w:r w:rsidRPr="00FF79D1">
        <w:rPr>
          <w:rFonts w:ascii="Arial" w:hAnsi="Arial"/>
          <w:sz w:val="20"/>
          <w:szCs w:val="20"/>
        </w:rPr>
        <w:t>The inversion of chromosome 16 (INV16) and the translocation t(16;16) is a characteristic chromosomal aberration found in the M4Eo subtype of acute myeloid leukaemia (AML). This abnormality is detected in 7-10% of de novo AML (90% of M4Eo subtype) but is not limited to this subtype. The alternative splicing of the genes result in different transcripts. The majority of individuals with AML have type A, type D and E is found in a minority.</w:t>
      </w:r>
    </w:p>
    <w:p w:rsidR="00E56818" w:rsidRPr="00FF79D1" w:rsidRDefault="00E56818" w:rsidP="00E56818">
      <w:pPr>
        <w:rPr>
          <w:rFonts w:ascii="Arial" w:hAnsi="Arial"/>
          <w:sz w:val="20"/>
          <w:szCs w:val="20"/>
        </w:rPr>
      </w:pPr>
      <w:r w:rsidRPr="00FF79D1">
        <w:rPr>
          <w:rFonts w:ascii="Arial" w:hAnsi="Arial"/>
          <w:b/>
          <w:sz w:val="20"/>
          <w:szCs w:val="20"/>
        </w:rPr>
        <w:t>References</w:t>
      </w:r>
      <w:r w:rsidRPr="00FF79D1">
        <w:rPr>
          <w:rFonts w:ascii="Arial" w:hAnsi="Arial"/>
          <w:sz w:val="20"/>
          <w:szCs w:val="20"/>
        </w:rPr>
        <w:t>: Shurtleff S.A. et al 1995 Heterogeneity in CBF beta/MYH11 fusion messages encoded by the inv(16)(p13;22) and the t(16;16)(p13;22) in acute myelogenous leukemia. Blood 85 3695-3703</w:t>
      </w:r>
    </w:p>
    <w:p w:rsidR="00E56818" w:rsidRPr="00FF79D1" w:rsidRDefault="00E56818" w:rsidP="00E56818">
      <w:pPr>
        <w:rPr>
          <w:rFonts w:ascii="Arial" w:hAnsi="Arial"/>
          <w:sz w:val="20"/>
          <w:szCs w:val="20"/>
        </w:rPr>
      </w:pPr>
      <w:r w:rsidRPr="00FF79D1">
        <w:rPr>
          <w:rFonts w:ascii="Arial" w:hAnsi="Arial"/>
          <w:sz w:val="20"/>
          <w:szCs w:val="20"/>
        </w:rPr>
        <w:t>Liu P et al 1993 Fusion between transcription factor CBF beat/PEBP2 beta and myosin heavy chain in acute myeloid leukemia. Science 261 1041-1044</w:t>
      </w:r>
    </w:p>
    <w:p w:rsidR="00E56818" w:rsidRPr="00FF79D1" w:rsidRDefault="00E56818" w:rsidP="00E56818">
      <w:pPr>
        <w:rPr>
          <w:rFonts w:ascii="Arial" w:hAnsi="Arial"/>
          <w:sz w:val="20"/>
          <w:szCs w:val="20"/>
        </w:rPr>
      </w:pPr>
      <w:r w:rsidRPr="00FF79D1">
        <w:rPr>
          <w:rFonts w:ascii="Arial" w:hAnsi="Arial"/>
          <w:sz w:val="20"/>
          <w:szCs w:val="20"/>
        </w:rPr>
        <w:t>Tobal et al 1995. Detection of CBFB/MYH11 transcripts in patients with inversion and other abnormalities of chromosome 16 at presentation and remission. Br J Haematol;91(1):104-8.</w:t>
      </w:r>
    </w:p>
    <w:p w:rsidR="00E56818" w:rsidRPr="00FF79D1" w:rsidRDefault="00E56818" w:rsidP="00E56818">
      <w:pPr>
        <w:rPr>
          <w:rFonts w:ascii="Arial" w:hAnsi="Arial"/>
          <w:sz w:val="20"/>
          <w:szCs w:val="20"/>
        </w:rPr>
      </w:pPr>
      <w:r w:rsidRPr="00FF79D1">
        <w:rPr>
          <w:rFonts w:ascii="Arial" w:hAnsi="Arial"/>
          <w:sz w:val="20"/>
          <w:szCs w:val="20"/>
        </w:rPr>
        <w:t>Van Donegan J.J. et al 1999 standardised RT-PCR analysis of fusion gene transcripts from chromosome aberrations in acute leukemia for detection of minimal residual disease in acute leukemia. Report of the BIOMED-1 Concerted Action: investigation of minimal residual disease in acute leukemia. Leukemia 13 1901-1928</w:t>
      </w:r>
    </w:p>
    <w:p w:rsidR="00E56818" w:rsidRPr="00FF79D1" w:rsidRDefault="00E56818" w:rsidP="00E56818">
      <w:pPr>
        <w:rPr>
          <w:rFonts w:ascii="Arial" w:hAnsi="Arial"/>
          <w:sz w:val="20"/>
          <w:szCs w:val="20"/>
        </w:rPr>
      </w:pPr>
      <w:r w:rsidRPr="00FF79D1">
        <w:rPr>
          <w:rFonts w:ascii="Arial" w:hAnsi="Arial"/>
          <w:sz w:val="20"/>
          <w:szCs w:val="20"/>
        </w:rPr>
        <w:t>Kogan S.C. et al 1998 The PEBP2-beta-MYH11 fusion created by inv(16)(p13:22) in myeloid leukemia impairs neutrophil maturation and contributes to granulocytic dysplasia. Proc. Natl. Acad. Sci 95 11863-1186</w:t>
      </w:r>
    </w:p>
    <w:p w:rsidR="00E56818" w:rsidRDefault="00E56818" w:rsidP="00B61456">
      <w:pPr>
        <w:rPr>
          <w:rFonts w:ascii="Arial" w:hAnsi="Arial"/>
          <w:b/>
          <w:color w:val="auto"/>
          <w:sz w:val="28"/>
        </w:rPr>
      </w:pPr>
      <w:r w:rsidRPr="00FF79D1">
        <w:rPr>
          <w:rFonts w:ascii="Arial" w:hAnsi="Arial"/>
          <w:b/>
          <w:sz w:val="20"/>
          <w:szCs w:val="20"/>
        </w:rPr>
        <w:t>Factors affecting results or interpretation of translocation assays:</w:t>
      </w:r>
      <w:r w:rsidRPr="00FF79D1">
        <w:rPr>
          <w:rFonts w:ascii="Arial" w:hAnsi="Arial"/>
          <w:sz w:val="20"/>
          <w:szCs w:val="20"/>
        </w:rPr>
        <w:t xml:space="preserve"> Translocation assays are performed from RNA which is very susceptible to degradation. Fresh samples give the best results and are more likely to pass our quality control. Samples received in heparin are not amenable to PCR based analysis and can therefore not be tested for translocations by QPCR.</w:t>
      </w:r>
    </w:p>
    <w:p w:rsidR="00E56818" w:rsidRDefault="00E56818" w:rsidP="00993502">
      <w:pPr>
        <w:keepNext/>
        <w:keepLines/>
        <w:spacing w:before="480" w:after="0" w:line="276" w:lineRule="auto"/>
        <w:jc w:val="left"/>
        <w:rPr>
          <w:rFonts w:ascii="Arial" w:hAnsi="Arial"/>
          <w:b/>
          <w:color w:val="auto"/>
          <w:sz w:val="28"/>
        </w:rPr>
      </w:pPr>
    </w:p>
    <w:p w:rsidR="00E56818" w:rsidRDefault="00E56818" w:rsidP="00993502">
      <w:pPr>
        <w:keepNext/>
        <w:keepLines/>
        <w:spacing w:before="480" w:after="0" w:line="276" w:lineRule="auto"/>
        <w:jc w:val="left"/>
        <w:rPr>
          <w:rFonts w:ascii="Arial" w:hAnsi="Arial"/>
          <w:b/>
          <w:color w:val="auto"/>
          <w:sz w:val="28"/>
        </w:rPr>
      </w:pPr>
    </w:p>
    <w:p w:rsidR="00E56818" w:rsidRDefault="00E56818" w:rsidP="00993502">
      <w:pPr>
        <w:keepNext/>
        <w:keepLines/>
        <w:spacing w:before="480" w:after="0" w:line="276" w:lineRule="auto"/>
        <w:jc w:val="left"/>
        <w:rPr>
          <w:rFonts w:ascii="Arial" w:hAnsi="Arial"/>
          <w:b/>
          <w:color w:val="auto"/>
          <w:sz w:val="28"/>
        </w:rPr>
      </w:pPr>
    </w:p>
    <w:p w:rsidR="00E56818" w:rsidRDefault="00E56818" w:rsidP="00993502">
      <w:pPr>
        <w:keepNext/>
        <w:keepLines/>
        <w:spacing w:before="480" w:after="0" w:line="276" w:lineRule="auto"/>
        <w:jc w:val="left"/>
        <w:rPr>
          <w:rFonts w:ascii="Arial" w:hAnsi="Arial"/>
          <w:b/>
          <w:color w:val="auto"/>
          <w:sz w:val="28"/>
        </w:rPr>
      </w:pPr>
    </w:p>
    <w:bookmarkEnd w:id="0"/>
    <w:p w:rsidR="00E56818" w:rsidRDefault="00E56818" w:rsidP="00993502">
      <w:pPr>
        <w:keepNext/>
        <w:keepLines/>
        <w:spacing w:before="480" w:after="0" w:line="276" w:lineRule="auto"/>
        <w:jc w:val="left"/>
        <w:rPr>
          <w:rFonts w:ascii="Arial" w:hAnsi="Arial"/>
          <w:b/>
          <w:color w:val="auto"/>
          <w:sz w:val="28"/>
        </w:rPr>
      </w:pPr>
    </w:p>
    <w:sectPr w:rsidR="00E56818" w:rsidSect="00792223">
      <w:headerReference w:type="even" r:id="rId30"/>
      <w:headerReference w:type="default" r:id="rId31"/>
      <w:footerReference w:type="even" r:id="rId32"/>
      <w:footerReference w:type="default" r:id="rId33"/>
      <w:headerReference w:type="first" r:id="rId34"/>
      <w:footerReference w:type="first" r:id="rId35"/>
      <w:endnotePr>
        <w:numFmt w:val="decimal"/>
      </w:endnotePr>
      <w:pgSz w:w="11909" w:h="16834" w:code="9"/>
      <w:pgMar w:top="1056" w:right="1701" w:bottom="1418" w:left="1701"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957" w:rsidRDefault="00B54957">
      <w:r>
        <w:separator/>
      </w:r>
    </w:p>
  </w:endnote>
  <w:endnote w:type="continuationSeparator" w:id="0">
    <w:p w:rsidR="00B54957" w:rsidRDefault="00B5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EF" w:rsidRDefault="00171AEF" w:rsidP="00BC5701">
    <w:pPr>
      <w:pStyle w:val="Footer"/>
    </w:pPr>
  </w:p>
  <w:p w:rsidR="00171AEF" w:rsidRPr="003864E7" w:rsidRDefault="00171AEF" w:rsidP="0000129C">
    <w:pPr>
      <w:pStyle w:val="Footer"/>
      <w:jc w:val="center"/>
      <w:rPr>
        <w:sz w:val="20"/>
        <w:szCs w:val="20"/>
      </w:rPr>
    </w:pPr>
    <w:r w:rsidRPr="003864E7">
      <w:rPr>
        <w:snapToGrid w:val="0"/>
        <w:sz w:val="20"/>
        <w:szCs w:val="20"/>
      </w:rPr>
      <w:t xml:space="preserve">Page </w:t>
    </w:r>
    <w:r w:rsidRPr="003864E7">
      <w:rPr>
        <w:snapToGrid w:val="0"/>
        <w:sz w:val="20"/>
        <w:szCs w:val="20"/>
      </w:rPr>
      <w:fldChar w:fldCharType="begin"/>
    </w:r>
    <w:r w:rsidRPr="003864E7">
      <w:rPr>
        <w:snapToGrid w:val="0"/>
        <w:sz w:val="20"/>
        <w:szCs w:val="20"/>
      </w:rPr>
      <w:instrText xml:space="preserve"> PAGE </w:instrText>
    </w:r>
    <w:r w:rsidRPr="003864E7">
      <w:rPr>
        <w:snapToGrid w:val="0"/>
        <w:sz w:val="20"/>
        <w:szCs w:val="20"/>
      </w:rPr>
      <w:fldChar w:fldCharType="separate"/>
    </w:r>
    <w:r>
      <w:rPr>
        <w:noProof/>
        <w:snapToGrid w:val="0"/>
        <w:sz w:val="20"/>
        <w:szCs w:val="20"/>
      </w:rPr>
      <w:t>2</w:t>
    </w:r>
    <w:r w:rsidRPr="003864E7">
      <w:rPr>
        <w:snapToGrid w:val="0"/>
        <w:sz w:val="20"/>
        <w:szCs w:val="20"/>
      </w:rPr>
      <w:fldChar w:fldCharType="end"/>
    </w:r>
    <w:r w:rsidRPr="003864E7">
      <w:rPr>
        <w:snapToGrid w:val="0"/>
        <w:sz w:val="20"/>
        <w:szCs w:val="20"/>
      </w:rPr>
      <w:t xml:space="preserve"> of </w:t>
    </w:r>
    <w:r w:rsidRPr="003864E7">
      <w:rPr>
        <w:snapToGrid w:val="0"/>
        <w:sz w:val="20"/>
        <w:szCs w:val="20"/>
      </w:rPr>
      <w:fldChar w:fldCharType="begin"/>
    </w:r>
    <w:r w:rsidRPr="003864E7">
      <w:rPr>
        <w:snapToGrid w:val="0"/>
        <w:sz w:val="20"/>
        <w:szCs w:val="20"/>
      </w:rPr>
      <w:instrText xml:space="preserve"> NUMPAGES </w:instrText>
    </w:r>
    <w:r w:rsidRPr="003864E7">
      <w:rPr>
        <w:snapToGrid w:val="0"/>
        <w:sz w:val="20"/>
        <w:szCs w:val="20"/>
      </w:rPr>
      <w:fldChar w:fldCharType="separate"/>
    </w:r>
    <w:r>
      <w:rPr>
        <w:noProof/>
        <w:snapToGrid w:val="0"/>
        <w:sz w:val="20"/>
        <w:szCs w:val="20"/>
      </w:rPr>
      <w:t>3</w:t>
    </w:r>
    <w:r w:rsidRPr="003864E7">
      <w:rPr>
        <w:snapToGrid w:val="0"/>
        <w:sz w:val="20"/>
        <w:szCs w:val="20"/>
      </w:rPr>
      <w:fldChar w:fldCharType="end"/>
    </w:r>
  </w:p>
  <w:tbl>
    <w:tblPr>
      <w:tblW w:w="8613" w:type="dxa"/>
      <w:tblLayout w:type="fixed"/>
      <w:tblLook w:val="01E0" w:firstRow="1" w:lastRow="1" w:firstColumn="1" w:lastColumn="1" w:noHBand="0" w:noVBand="0"/>
    </w:tblPr>
    <w:tblGrid>
      <w:gridCol w:w="1668"/>
      <w:gridCol w:w="3402"/>
      <w:gridCol w:w="1307"/>
      <w:gridCol w:w="2236"/>
    </w:tblGrid>
    <w:tr w:rsidR="00171AEF" w:rsidTr="009A010D">
      <w:tc>
        <w:tcPr>
          <w:tcW w:w="5070" w:type="dxa"/>
          <w:gridSpan w:val="2"/>
          <w:tcBorders>
            <w:top w:val="single" w:sz="4" w:space="0" w:color="auto"/>
            <w:right w:val="single" w:sz="4" w:space="0" w:color="auto"/>
          </w:tcBorders>
        </w:tcPr>
        <w:p w:rsidR="00171AEF" w:rsidRPr="003B6C7B" w:rsidRDefault="00171AEF" w:rsidP="00753709">
          <w:pPr>
            <w:pStyle w:val="Footer"/>
            <w:rPr>
              <w:rFonts w:ascii="Verdana" w:hAnsi="Verdana" w:cs="Arial"/>
              <w:lang w:val="en-GB"/>
            </w:rPr>
          </w:pPr>
          <w:r w:rsidRPr="003B6C7B">
            <w:rPr>
              <w:rFonts w:ascii="Verdana" w:hAnsi="Verdana" w:cs="Arial"/>
              <w:lang w:val="en-GB"/>
            </w:rPr>
            <w:t>Author</w:t>
          </w:r>
        </w:p>
      </w:tc>
      <w:tc>
        <w:tcPr>
          <w:tcW w:w="1307" w:type="dxa"/>
          <w:tcBorders>
            <w:top w:val="single" w:sz="4" w:space="0" w:color="auto"/>
            <w:left w:val="single" w:sz="4" w:space="0" w:color="auto"/>
          </w:tcBorders>
        </w:tcPr>
        <w:p w:rsidR="00171AEF" w:rsidRPr="003B6C7B" w:rsidRDefault="00171AEF" w:rsidP="00753709">
          <w:pPr>
            <w:pStyle w:val="Footer"/>
            <w:rPr>
              <w:rFonts w:ascii="Verdana" w:hAnsi="Verdana" w:cs="Arial"/>
              <w:lang w:val="en-GB"/>
            </w:rPr>
          </w:pPr>
        </w:p>
      </w:tc>
      <w:tc>
        <w:tcPr>
          <w:tcW w:w="2236" w:type="dxa"/>
          <w:tcBorders>
            <w:top w:val="single" w:sz="4" w:space="0" w:color="auto"/>
          </w:tcBorders>
        </w:tcPr>
        <w:p w:rsidR="00171AEF" w:rsidRPr="003B6C7B" w:rsidRDefault="00171AEF" w:rsidP="00753709">
          <w:pPr>
            <w:pStyle w:val="Footer"/>
            <w:rPr>
              <w:rFonts w:ascii="Verdana" w:hAnsi="Verdana" w:cs="Arial"/>
              <w:lang w:val="en-GB"/>
            </w:rPr>
          </w:pPr>
          <w:r w:rsidRPr="003B6C7B">
            <w:rPr>
              <w:rFonts w:ascii="Verdana" w:hAnsi="Verdana" w:cs="Arial"/>
              <w:lang w:val="en-GB"/>
            </w:rPr>
            <w:t xml:space="preserve">Version </w:t>
          </w:r>
        </w:p>
      </w:tc>
    </w:tr>
    <w:tr w:rsidR="00171AEF" w:rsidTr="009A010D">
      <w:tc>
        <w:tcPr>
          <w:tcW w:w="1668" w:type="dxa"/>
        </w:tcPr>
        <w:p w:rsidR="00171AEF" w:rsidRPr="003B6C7B" w:rsidRDefault="00171AEF" w:rsidP="00753709">
          <w:pPr>
            <w:pStyle w:val="Footer"/>
            <w:rPr>
              <w:rFonts w:ascii="Verdana" w:hAnsi="Verdana" w:cs="Arial"/>
              <w:lang w:val="en-GB"/>
            </w:rPr>
          </w:pPr>
          <w:r w:rsidRPr="003B6C7B">
            <w:rPr>
              <w:rFonts w:ascii="Verdana" w:hAnsi="Verdana" w:cs="Arial"/>
              <w:lang w:val="en-GB"/>
            </w:rPr>
            <w:t>Authorised by</w:t>
          </w:r>
        </w:p>
      </w:tc>
      <w:tc>
        <w:tcPr>
          <w:tcW w:w="3402" w:type="dxa"/>
          <w:tcBorders>
            <w:right w:val="single" w:sz="4" w:space="0" w:color="auto"/>
          </w:tcBorders>
        </w:tcPr>
        <w:p w:rsidR="00171AEF" w:rsidRPr="003B6C7B" w:rsidRDefault="00171AEF" w:rsidP="00753709">
          <w:pPr>
            <w:pStyle w:val="Footer"/>
            <w:rPr>
              <w:rFonts w:ascii="Verdana" w:hAnsi="Verdana" w:cs="Arial"/>
              <w:lang w:val="en-GB"/>
            </w:rPr>
          </w:pPr>
        </w:p>
      </w:tc>
      <w:tc>
        <w:tcPr>
          <w:tcW w:w="1307" w:type="dxa"/>
          <w:tcBorders>
            <w:left w:val="single" w:sz="4" w:space="0" w:color="auto"/>
          </w:tcBorders>
        </w:tcPr>
        <w:p w:rsidR="00171AEF" w:rsidRPr="003B6C7B" w:rsidRDefault="00171AEF" w:rsidP="00753709">
          <w:pPr>
            <w:pStyle w:val="Footer"/>
            <w:rPr>
              <w:rFonts w:ascii="Verdana" w:hAnsi="Verdana" w:cs="Arial"/>
              <w:lang w:val="en-GB"/>
            </w:rPr>
          </w:pPr>
          <w:r w:rsidRPr="003B6C7B">
            <w:rPr>
              <w:rFonts w:ascii="Verdana" w:hAnsi="Verdana" w:cs="Arial"/>
              <w:lang w:val="en-GB"/>
            </w:rPr>
            <w:t>Issue date</w:t>
          </w:r>
        </w:p>
      </w:tc>
      <w:tc>
        <w:tcPr>
          <w:tcW w:w="2236" w:type="dxa"/>
          <w:vAlign w:val="bottom"/>
        </w:tcPr>
        <w:p w:rsidR="00171AEF" w:rsidRPr="003B6C7B" w:rsidRDefault="00171AEF" w:rsidP="009A010D">
          <w:pPr>
            <w:pStyle w:val="Footer"/>
            <w:jc w:val="left"/>
            <w:rPr>
              <w:rFonts w:ascii="Verdana" w:hAnsi="Verdana" w:cs="Arial"/>
              <w:lang w:val="en-GB"/>
            </w:rPr>
          </w:pPr>
        </w:p>
      </w:tc>
    </w:tr>
    <w:tr w:rsidR="00171AEF" w:rsidTr="009A010D">
      <w:tc>
        <w:tcPr>
          <w:tcW w:w="1668" w:type="dxa"/>
        </w:tcPr>
        <w:p w:rsidR="00171AEF" w:rsidRPr="003B6C7B" w:rsidRDefault="00171AEF" w:rsidP="00753709">
          <w:pPr>
            <w:pStyle w:val="Footer"/>
            <w:rPr>
              <w:rFonts w:ascii="Verdana" w:hAnsi="Verdana" w:cs="Arial"/>
              <w:lang w:val="en-GB"/>
            </w:rPr>
          </w:pPr>
          <w:r w:rsidRPr="003B6C7B">
            <w:rPr>
              <w:rFonts w:ascii="Verdana" w:hAnsi="Verdana" w:cs="Arial"/>
              <w:lang w:val="en-GB"/>
            </w:rPr>
            <w:t>Author</w:t>
          </w:r>
        </w:p>
      </w:tc>
      <w:tc>
        <w:tcPr>
          <w:tcW w:w="3402" w:type="dxa"/>
          <w:tcBorders>
            <w:right w:val="single" w:sz="4" w:space="0" w:color="auto"/>
          </w:tcBorders>
        </w:tcPr>
        <w:p w:rsidR="00171AEF" w:rsidRPr="003B6C7B" w:rsidRDefault="00171AEF" w:rsidP="00753709">
          <w:pPr>
            <w:pStyle w:val="Footer"/>
            <w:rPr>
              <w:rFonts w:ascii="Verdana" w:hAnsi="Verdana" w:cs="Arial"/>
              <w:lang w:val="en-GB"/>
            </w:rPr>
          </w:pPr>
        </w:p>
      </w:tc>
      <w:tc>
        <w:tcPr>
          <w:tcW w:w="1307" w:type="dxa"/>
          <w:tcBorders>
            <w:left w:val="single" w:sz="4" w:space="0" w:color="auto"/>
          </w:tcBorders>
        </w:tcPr>
        <w:p w:rsidR="00171AEF" w:rsidRPr="003B6C7B" w:rsidRDefault="00171AEF" w:rsidP="00753709">
          <w:pPr>
            <w:pStyle w:val="Footer"/>
            <w:rPr>
              <w:rFonts w:ascii="Verdana" w:hAnsi="Verdana" w:cs="Arial"/>
              <w:lang w:val="en-GB"/>
            </w:rPr>
          </w:pPr>
          <w:r w:rsidRPr="003B6C7B">
            <w:rPr>
              <w:rFonts w:ascii="Verdana" w:hAnsi="Verdana" w:cs="Arial"/>
              <w:lang w:val="en-GB"/>
            </w:rPr>
            <w:t xml:space="preserve">Version </w:t>
          </w:r>
        </w:p>
      </w:tc>
      <w:tc>
        <w:tcPr>
          <w:tcW w:w="2236" w:type="dxa"/>
          <w:vAlign w:val="bottom"/>
        </w:tcPr>
        <w:p w:rsidR="00171AEF" w:rsidRPr="003B6C7B" w:rsidRDefault="00171AEF" w:rsidP="009A010D">
          <w:pPr>
            <w:pStyle w:val="Footer"/>
            <w:jc w:val="left"/>
            <w:rPr>
              <w:rFonts w:ascii="Verdana" w:hAnsi="Verdana" w:cs="Arial"/>
              <w:lang w:val="en-GB"/>
            </w:rPr>
          </w:pPr>
        </w:p>
      </w:tc>
    </w:tr>
  </w:tbl>
  <w:p w:rsidR="00171AEF" w:rsidRPr="00BC5701" w:rsidRDefault="00171AEF" w:rsidP="00BC5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EF" w:rsidRPr="00923E12" w:rsidRDefault="00171AEF" w:rsidP="00993502">
    <w:pPr>
      <w:pBdr>
        <w:top w:val="single" w:sz="4" w:space="1" w:color="auto"/>
      </w:pBdr>
      <w:rPr>
        <w:rFonts w:ascii="Arial" w:hAnsi="Arial"/>
        <w:sz w:val="18"/>
        <w:szCs w:val="18"/>
        <w:lang w:val="x-none"/>
      </w:rPr>
    </w:pPr>
    <w:r>
      <w:rPr>
        <w:rFonts w:ascii="Arial" w:hAnsi="Arial"/>
        <w:sz w:val="18"/>
        <w:szCs w:val="18"/>
      </w:rPr>
      <w:t>LMH Laboratory User’s Handbook</w:t>
    </w:r>
    <w:r>
      <w:rPr>
        <w:rFonts w:ascii="Arial" w:hAnsi="Arial"/>
        <w:sz w:val="18"/>
        <w:szCs w:val="18"/>
      </w:rPr>
      <w:tab/>
    </w:r>
    <w:r>
      <w:rPr>
        <w:rFonts w:ascii="Arial" w:hAnsi="Arial"/>
        <w:sz w:val="18"/>
        <w:szCs w:val="18"/>
      </w:rPr>
      <w:tab/>
    </w:r>
    <w:r>
      <w:rPr>
        <w:rFonts w:ascii="Arial" w:hAnsi="Arial"/>
        <w:sz w:val="18"/>
        <w:szCs w:val="18"/>
      </w:rPr>
      <w:tab/>
    </w:r>
    <w:r w:rsidRPr="00923E12">
      <w:rPr>
        <w:rFonts w:ascii="Arial" w:hAnsi="Arial"/>
        <w:sz w:val="18"/>
        <w:szCs w:val="18"/>
        <w:lang w:val="x-none"/>
      </w:rPr>
      <w:tab/>
    </w:r>
    <w:r w:rsidRPr="00923E12">
      <w:rPr>
        <w:rFonts w:ascii="Arial" w:hAnsi="Arial"/>
        <w:sz w:val="18"/>
        <w:szCs w:val="18"/>
        <w:lang w:val="x-none"/>
      </w:rPr>
      <w:tab/>
    </w:r>
    <w:r w:rsidRPr="00923E12">
      <w:rPr>
        <w:rFonts w:ascii="Arial" w:hAnsi="Arial"/>
        <w:sz w:val="18"/>
        <w:szCs w:val="18"/>
        <w:lang w:val="x-none"/>
      </w:rPr>
      <w:tab/>
    </w:r>
    <w:r w:rsidRPr="00923E12">
      <w:rPr>
        <w:rFonts w:ascii="Arial" w:hAnsi="Arial"/>
        <w:sz w:val="18"/>
        <w:szCs w:val="18"/>
        <w:lang w:val="x-none"/>
      </w:rPr>
      <w:tab/>
      <w:t xml:space="preserve">Page </w:t>
    </w:r>
    <w:r w:rsidRPr="00923E12">
      <w:rPr>
        <w:rFonts w:ascii="Arial" w:hAnsi="Arial"/>
        <w:b/>
        <w:sz w:val="18"/>
        <w:szCs w:val="18"/>
        <w:lang w:val="x-none"/>
      </w:rPr>
      <w:fldChar w:fldCharType="begin"/>
    </w:r>
    <w:r w:rsidRPr="00923E12">
      <w:rPr>
        <w:rFonts w:ascii="Arial" w:hAnsi="Arial"/>
        <w:b/>
        <w:sz w:val="18"/>
        <w:szCs w:val="18"/>
        <w:lang w:val="x-none"/>
      </w:rPr>
      <w:instrText xml:space="preserve"> PAGE  \* Arabic  \* MERGEFORMAT </w:instrText>
    </w:r>
    <w:r w:rsidRPr="00923E12">
      <w:rPr>
        <w:rFonts w:ascii="Arial" w:hAnsi="Arial"/>
        <w:b/>
        <w:sz w:val="18"/>
        <w:szCs w:val="18"/>
        <w:lang w:val="x-none"/>
      </w:rPr>
      <w:fldChar w:fldCharType="separate"/>
    </w:r>
    <w:r w:rsidR="00A14AB3">
      <w:rPr>
        <w:rFonts w:ascii="Arial" w:hAnsi="Arial"/>
        <w:b/>
        <w:noProof/>
        <w:sz w:val="18"/>
        <w:szCs w:val="18"/>
        <w:lang w:val="x-none"/>
      </w:rPr>
      <w:t>1</w:t>
    </w:r>
    <w:r w:rsidRPr="00923E12">
      <w:rPr>
        <w:rFonts w:ascii="Arial" w:hAnsi="Arial"/>
        <w:b/>
        <w:sz w:val="18"/>
        <w:szCs w:val="18"/>
        <w:lang w:val="x-none"/>
      </w:rPr>
      <w:fldChar w:fldCharType="end"/>
    </w:r>
    <w:r w:rsidRPr="00923E12">
      <w:rPr>
        <w:rFonts w:ascii="Arial" w:hAnsi="Arial"/>
        <w:sz w:val="18"/>
        <w:szCs w:val="18"/>
        <w:lang w:val="x-none"/>
      </w:rPr>
      <w:t xml:space="preserve"> of </w:t>
    </w:r>
    <w:r w:rsidRPr="00923E12">
      <w:rPr>
        <w:rFonts w:ascii="Arial" w:hAnsi="Arial"/>
        <w:sz w:val="18"/>
        <w:szCs w:val="18"/>
        <w:lang w:val="x-none"/>
      </w:rPr>
      <w:fldChar w:fldCharType="begin"/>
    </w:r>
    <w:r w:rsidRPr="00923E12">
      <w:rPr>
        <w:rFonts w:ascii="Arial" w:hAnsi="Arial"/>
        <w:sz w:val="18"/>
        <w:szCs w:val="18"/>
        <w:lang w:val="x-none"/>
      </w:rPr>
      <w:instrText xml:space="preserve"> NUMPAGES  \* Arabic  \* MERGEFORMAT </w:instrText>
    </w:r>
    <w:r w:rsidRPr="00923E12">
      <w:rPr>
        <w:rFonts w:ascii="Arial" w:hAnsi="Arial"/>
        <w:sz w:val="18"/>
        <w:szCs w:val="18"/>
        <w:lang w:val="x-none"/>
      </w:rPr>
      <w:fldChar w:fldCharType="separate"/>
    </w:r>
    <w:r w:rsidR="00A14AB3" w:rsidRPr="00A14AB3">
      <w:rPr>
        <w:rFonts w:ascii="Arial" w:hAnsi="Arial"/>
        <w:b/>
        <w:noProof/>
        <w:sz w:val="18"/>
        <w:szCs w:val="18"/>
        <w:lang w:val="x-none"/>
      </w:rPr>
      <w:t>26</w:t>
    </w:r>
    <w:r w:rsidRPr="00923E12">
      <w:rPr>
        <w:rFonts w:ascii="Arial" w:hAnsi="Arial"/>
        <w:b/>
        <w:noProof/>
        <w:sz w:val="18"/>
        <w:szCs w:val="18"/>
        <w:lang w:val="x-none"/>
      </w:rPr>
      <w:fldChar w:fldCharType="end"/>
    </w:r>
  </w:p>
  <w:p w:rsidR="00171AEF" w:rsidRPr="003041BA" w:rsidRDefault="00171AEF" w:rsidP="006074C3">
    <w:pPr>
      <w:jc w:val="lef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EF" w:rsidRPr="00752453" w:rsidRDefault="00171AEF" w:rsidP="00DD182F">
    <w:pPr>
      <w:pStyle w:val="Footer"/>
      <w:pBdr>
        <w:top w:val="single" w:sz="4" w:space="1" w:color="auto"/>
      </w:pBdr>
      <w:rPr>
        <w:rFonts w:ascii="Verdana" w:hAnsi="Verdana"/>
      </w:rPr>
    </w:pPr>
    <w:r w:rsidRPr="00752453">
      <w:rPr>
        <w:rFonts w:ascii="Verdana" w:hAnsi="Verdana"/>
        <w:lang w:val="en-GB"/>
      </w:rPr>
      <w:t>Synnovis SOP template</w:t>
    </w:r>
    <w:r w:rsidRPr="00DD182F">
      <w:rPr>
        <w:rFonts w:ascii="Verdana" w:hAnsi="Verdana"/>
      </w:rPr>
      <w:tab/>
    </w:r>
    <w:r w:rsidRPr="00DD182F">
      <w:rPr>
        <w:rFonts w:ascii="Verdana" w:hAnsi="Verdana"/>
      </w:rPr>
      <w:tab/>
    </w:r>
    <w:r w:rsidRPr="00DD182F">
      <w:rPr>
        <w:rFonts w:ascii="Verdana" w:hAnsi="Verdana"/>
      </w:rPr>
      <w:tab/>
    </w:r>
    <w:r w:rsidRPr="00DD182F">
      <w:rPr>
        <w:rFonts w:ascii="Verdana" w:hAnsi="Verdana"/>
      </w:rPr>
      <w:tab/>
    </w:r>
    <w:r w:rsidRPr="00DD182F">
      <w:rPr>
        <w:rFonts w:ascii="Verdana" w:hAnsi="Verdana"/>
        <w:lang w:val="en-GB"/>
      </w:rPr>
      <w:t xml:space="preserve">                                            </w:t>
    </w:r>
    <w:r w:rsidRPr="00DD182F">
      <w:rPr>
        <w:rFonts w:ascii="Verdana" w:hAnsi="Verdana"/>
      </w:rPr>
      <w:t xml:space="preserve">Page </w:t>
    </w:r>
    <w:r w:rsidRPr="00DD182F">
      <w:rPr>
        <w:rFonts w:ascii="Verdana" w:hAnsi="Verdana"/>
        <w:b/>
      </w:rPr>
      <w:fldChar w:fldCharType="begin"/>
    </w:r>
    <w:r w:rsidRPr="00752453">
      <w:rPr>
        <w:rFonts w:ascii="Verdana" w:hAnsi="Verdana"/>
        <w:b/>
      </w:rPr>
      <w:instrText xml:space="preserve"> PAGE  \* Arabic  \* MERGEFORMAT </w:instrText>
    </w:r>
    <w:r w:rsidRPr="00DD182F">
      <w:rPr>
        <w:rFonts w:ascii="Verdana" w:hAnsi="Verdana"/>
        <w:b/>
      </w:rPr>
      <w:fldChar w:fldCharType="separate"/>
    </w:r>
    <w:r>
      <w:rPr>
        <w:rFonts w:ascii="Verdana" w:hAnsi="Verdana"/>
        <w:b/>
        <w:noProof/>
      </w:rPr>
      <w:t>1</w:t>
    </w:r>
    <w:r w:rsidRPr="00DD182F">
      <w:rPr>
        <w:rFonts w:ascii="Verdana" w:hAnsi="Verdana"/>
        <w:b/>
      </w:rPr>
      <w:fldChar w:fldCharType="end"/>
    </w:r>
    <w:r w:rsidRPr="00DD182F">
      <w:rPr>
        <w:rFonts w:ascii="Verdana" w:hAnsi="Verdana"/>
      </w:rPr>
      <w:t xml:space="preserve"> of </w:t>
    </w:r>
    <w:r w:rsidRPr="00752453">
      <w:rPr>
        <w:rFonts w:ascii="Verdana" w:hAnsi="Verdana"/>
      </w:rPr>
      <w:fldChar w:fldCharType="begin"/>
    </w:r>
    <w:r w:rsidRPr="00752453">
      <w:rPr>
        <w:rFonts w:ascii="Verdana" w:hAnsi="Verdana"/>
      </w:rPr>
      <w:instrText xml:space="preserve"> NUMPAGES  \* Arabic  \* MERGEFORMAT </w:instrText>
    </w:r>
    <w:r w:rsidRPr="00752453">
      <w:rPr>
        <w:rFonts w:ascii="Verdana" w:hAnsi="Verdana"/>
      </w:rPr>
      <w:fldChar w:fldCharType="separate"/>
    </w:r>
    <w:r w:rsidRPr="00DD182F">
      <w:rPr>
        <w:rFonts w:ascii="Verdana" w:hAnsi="Verdana"/>
        <w:b/>
        <w:noProof/>
      </w:rPr>
      <w:t>10</w:t>
    </w:r>
    <w:r w:rsidRPr="00752453">
      <w:rPr>
        <w:rFonts w:ascii="Verdana" w:hAnsi="Verdana"/>
        <w:b/>
        <w:noProof/>
      </w:rPr>
      <w:fldChar w:fldCharType="end"/>
    </w:r>
  </w:p>
  <w:p w:rsidR="00171AEF" w:rsidRPr="006074C3" w:rsidRDefault="00171AEF" w:rsidP="006074C3">
    <w:pP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957" w:rsidRDefault="00B54957">
      <w:r>
        <w:separator/>
      </w:r>
    </w:p>
  </w:footnote>
  <w:footnote w:type="continuationSeparator" w:id="0">
    <w:p w:rsidR="00B54957" w:rsidRDefault="00B54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4361"/>
      <w:gridCol w:w="4362"/>
    </w:tblGrid>
    <w:tr w:rsidR="00171AEF" w:rsidRPr="00193A29" w:rsidTr="009A010D">
      <w:tc>
        <w:tcPr>
          <w:tcW w:w="4361" w:type="dxa"/>
        </w:tcPr>
        <w:p w:rsidR="00171AEF" w:rsidRPr="009A010D" w:rsidRDefault="00171AEF" w:rsidP="009A010D">
          <w:pPr>
            <w:pStyle w:val="Header"/>
            <w:tabs>
              <w:tab w:val="center" w:pos="4500"/>
              <w:tab w:val="right" w:pos="8280"/>
            </w:tabs>
            <w:jc w:val="left"/>
            <w:rPr>
              <w:rStyle w:val="PageNumber"/>
              <w:b/>
              <w:sz w:val="20"/>
              <w:szCs w:val="20"/>
            </w:rPr>
          </w:pPr>
          <w:r>
            <w:rPr>
              <w:rStyle w:val="PageNumber"/>
              <w:b/>
              <w:sz w:val="20"/>
              <w:szCs w:val="20"/>
            </w:rPr>
            <w:fldChar w:fldCharType="begin"/>
          </w:r>
          <w:r>
            <w:rPr>
              <w:rStyle w:val="PageNumber"/>
              <w:b/>
              <w:sz w:val="20"/>
              <w:szCs w:val="20"/>
            </w:rPr>
            <w:instrText xml:space="preserve"> TITLE  \* MERGEFORMAT </w:instrText>
          </w:r>
          <w:r>
            <w:rPr>
              <w:rStyle w:val="PageNumber"/>
              <w:b/>
              <w:sz w:val="20"/>
              <w:szCs w:val="20"/>
            </w:rPr>
            <w:fldChar w:fldCharType="separate"/>
          </w:r>
          <w:r w:rsidRPr="001F75EF">
            <w:rPr>
              <w:rStyle w:val="PageNumber"/>
              <w:b/>
              <w:sz w:val="20"/>
              <w:szCs w:val="20"/>
            </w:rPr>
            <w:t>Enter in 'Summary'/'Title:'</w:t>
          </w:r>
          <w:r>
            <w:rPr>
              <w:rStyle w:val="PageNumber"/>
              <w:b/>
              <w:sz w:val="20"/>
              <w:szCs w:val="20"/>
            </w:rPr>
            <w:fldChar w:fldCharType="end"/>
          </w:r>
        </w:p>
      </w:tc>
      <w:tc>
        <w:tcPr>
          <w:tcW w:w="4362" w:type="dxa"/>
          <w:vMerge w:val="restart"/>
          <w:tcBorders>
            <w:left w:val="nil"/>
          </w:tcBorders>
        </w:tcPr>
        <w:p w:rsidR="00171AEF" w:rsidRPr="009A010D" w:rsidRDefault="00171AEF" w:rsidP="009A010D">
          <w:pPr>
            <w:pStyle w:val="Header"/>
            <w:tabs>
              <w:tab w:val="center" w:pos="4500"/>
              <w:tab w:val="right" w:pos="8280"/>
            </w:tabs>
            <w:jc w:val="right"/>
            <w:rPr>
              <w:rStyle w:val="PageNumber"/>
              <w:b/>
              <w:sz w:val="20"/>
              <w:szCs w:val="20"/>
            </w:rPr>
          </w:pPr>
          <w:r w:rsidRPr="001254B3">
            <w:rPr>
              <w:noProof/>
              <w:lang w:eastAsia="en-GB"/>
            </w:rPr>
            <w:drawing>
              <wp:inline distT="0" distB="0" distL="0" distR="0" wp14:anchorId="32B5E482" wp14:editId="32B5E483">
                <wp:extent cx="990600" cy="431800"/>
                <wp:effectExtent l="0" t="0" r="0" b="6350"/>
                <wp:docPr id="2" name="Picture 6" descr="GSTS_Logo_RGB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TS_Logo_RGB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31800"/>
                        </a:xfrm>
                        <a:prstGeom prst="rect">
                          <a:avLst/>
                        </a:prstGeom>
                        <a:noFill/>
                        <a:ln>
                          <a:noFill/>
                        </a:ln>
                      </pic:spPr>
                    </pic:pic>
                  </a:graphicData>
                </a:graphic>
              </wp:inline>
            </w:drawing>
          </w:r>
        </w:p>
      </w:tc>
    </w:tr>
    <w:tr w:rsidR="00171AEF" w:rsidRPr="00193A29" w:rsidTr="009A010D">
      <w:tc>
        <w:tcPr>
          <w:tcW w:w="4361" w:type="dxa"/>
        </w:tcPr>
        <w:p w:rsidR="00171AEF" w:rsidRPr="009A010D" w:rsidRDefault="00171AEF" w:rsidP="009A010D">
          <w:pPr>
            <w:pStyle w:val="Header"/>
            <w:tabs>
              <w:tab w:val="center" w:pos="4500"/>
              <w:tab w:val="right" w:pos="8280"/>
            </w:tabs>
            <w:rPr>
              <w:rStyle w:val="PageNumber"/>
              <w:b/>
              <w:sz w:val="20"/>
              <w:szCs w:val="20"/>
            </w:rPr>
          </w:pPr>
          <w:r>
            <w:rPr>
              <w:rStyle w:val="PageNumber"/>
              <w:b/>
              <w:sz w:val="20"/>
              <w:szCs w:val="20"/>
            </w:rPr>
            <w:fldChar w:fldCharType="begin"/>
          </w:r>
          <w:r>
            <w:rPr>
              <w:rStyle w:val="PageNumber"/>
              <w:b/>
              <w:sz w:val="20"/>
              <w:szCs w:val="20"/>
            </w:rPr>
            <w:instrText>SUBJECT  \* MERGEFORMAT</w:instrText>
          </w:r>
          <w:r>
            <w:rPr>
              <w:rStyle w:val="PageNumber"/>
              <w:b/>
              <w:sz w:val="20"/>
              <w:szCs w:val="20"/>
            </w:rPr>
            <w:fldChar w:fldCharType="separate"/>
          </w:r>
          <w:r w:rsidRPr="001F75EF">
            <w:rPr>
              <w:rStyle w:val="PageNumber"/>
              <w:b/>
              <w:sz w:val="20"/>
              <w:szCs w:val="20"/>
            </w:rPr>
            <w:t>Enter in 'Summary'/unique identifier'</w:t>
          </w:r>
          <w:r>
            <w:rPr>
              <w:rStyle w:val="PageNumber"/>
              <w:b/>
              <w:sz w:val="20"/>
              <w:szCs w:val="20"/>
            </w:rPr>
            <w:fldChar w:fldCharType="end"/>
          </w:r>
        </w:p>
      </w:tc>
      <w:tc>
        <w:tcPr>
          <w:tcW w:w="4362" w:type="dxa"/>
          <w:vMerge/>
          <w:tcBorders>
            <w:left w:val="nil"/>
          </w:tcBorders>
        </w:tcPr>
        <w:p w:rsidR="00171AEF" w:rsidRPr="009A010D" w:rsidRDefault="00171AEF" w:rsidP="009A010D">
          <w:pPr>
            <w:pStyle w:val="Header"/>
            <w:tabs>
              <w:tab w:val="center" w:pos="4500"/>
              <w:tab w:val="right" w:pos="8280"/>
            </w:tabs>
            <w:jc w:val="right"/>
            <w:rPr>
              <w:rStyle w:val="PageNumber"/>
              <w:b/>
              <w:sz w:val="20"/>
              <w:szCs w:val="20"/>
            </w:rPr>
          </w:pPr>
        </w:p>
      </w:tc>
    </w:tr>
    <w:tr w:rsidR="00171AEF" w:rsidRPr="00BC5701" w:rsidTr="009A010D">
      <w:tc>
        <w:tcPr>
          <w:tcW w:w="4361" w:type="dxa"/>
          <w:tcBorders>
            <w:bottom w:val="single" w:sz="4" w:space="0" w:color="auto"/>
          </w:tcBorders>
        </w:tcPr>
        <w:p w:rsidR="00171AEF" w:rsidRPr="009A010D" w:rsidRDefault="00171AEF" w:rsidP="009A010D">
          <w:pPr>
            <w:pStyle w:val="Header"/>
            <w:tabs>
              <w:tab w:val="center" w:pos="4500"/>
              <w:tab w:val="right" w:pos="8280"/>
            </w:tabs>
            <w:rPr>
              <w:rStyle w:val="PageNumber"/>
              <w:sz w:val="20"/>
              <w:szCs w:val="20"/>
            </w:rPr>
          </w:pPr>
        </w:p>
      </w:tc>
      <w:tc>
        <w:tcPr>
          <w:tcW w:w="4362" w:type="dxa"/>
          <w:tcBorders>
            <w:left w:val="nil"/>
            <w:bottom w:val="single" w:sz="4" w:space="0" w:color="auto"/>
          </w:tcBorders>
        </w:tcPr>
        <w:p w:rsidR="00171AEF" w:rsidRPr="009A010D" w:rsidRDefault="00171AEF" w:rsidP="009A010D">
          <w:pPr>
            <w:pStyle w:val="Header"/>
            <w:tabs>
              <w:tab w:val="center" w:pos="4500"/>
              <w:tab w:val="right" w:pos="8280"/>
            </w:tabs>
            <w:jc w:val="right"/>
            <w:rPr>
              <w:rStyle w:val="PageNumber"/>
              <w:b/>
              <w:sz w:val="20"/>
              <w:szCs w:val="20"/>
            </w:rPr>
          </w:pPr>
          <w:r>
            <w:rPr>
              <w:rStyle w:val="PageNumber"/>
              <w:b/>
              <w:sz w:val="20"/>
              <w:szCs w:val="20"/>
            </w:rPr>
            <w:fldChar w:fldCharType="begin"/>
          </w:r>
          <w:r>
            <w:rPr>
              <w:rStyle w:val="PageNumber"/>
              <w:b/>
              <w:sz w:val="20"/>
              <w:szCs w:val="20"/>
            </w:rPr>
            <w:instrText>DOCPROPERTY  Department  \* MERGEFORMAT</w:instrText>
          </w:r>
          <w:r>
            <w:rPr>
              <w:rStyle w:val="PageNumber"/>
              <w:b/>
              <w:sz w:val="20"/>
              <w:szCs w:val="20"/>
            </w:rPr>
            <w:fldChar w:fldCharType="separate"/>
          </w:r>
          <w:r w:rsidRPr="001F75EF">
            <w:rPr>
              <w:rStyle w:val="PageNumber"/>
              <w:b/>
              <w:sz w:val="20"/>
              <w:szCs w:val="20"/>
            </w:rPr>
            <w:t>Enter dept name in 'Custom'/'Value:'</w:t>
          </w:r>
          <w:r>
            <w:rPr>
              <w:rStyle w:val="PageNumber"/>
              <w:b/>
              <w:sz w:val="20"/>
              <w:szCs w:val="20"/>
            </w:rPr>
            <w:fldChar w:fldCharType="end"/>
          </w:r>
        </w:p>
      </w:tc>
    </w:tr>
  </w:tbl>
  <w:p w:rsidR="00171AEF" w:rsidRPr="00EF7C35" w:rsidRDefault="00171AEF" w:rsidP="00EF7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743" w:type="dxa"/>
      <w:tblBorders>
        <w:bottom w:val="single" w:sz="4" w:space="0" w:color="auto"/>
      </w:tblBorders>
      <w:tblLayout w:type="fixed"/>
      <w:tblLook w:val="01E0" w:firstRow="1" w:lastRow="1" w:firstColumn="1" w:lastColumn="1" w:noHBand="0" w:noVBand="0"/>
    </w:tblPr>
    <w:tblGrid>
      <w:gridCol w:w="3119"/>
      <w:gridCol w:w="7371"/>
    </w:tblGrid>
    <w:tr w:rsidR="00171AEF" w:rsidRPr="00186F5B" w:rsidTr="006630D3">
      <w:trPr>
        <w:trHeight w:val="454"/>
      </w:trPr>
      <w:tc>
        <w:tcPr>
          <w:tcW w:w="3119" w:type="dxa"/>
          <w:vMerge w:val="restart"/>
        </w:tcPr>
        <w:p w:rsidR="00171AEF" w:rsidRPr="009A010D" w:rsidRDefault="00171AEF" w:rsidP="00F65628">
          <w:pPr>
            <w:pStyle w:val="Header"/>
            <w:tabs>
              <w:tab w:val="left" w:pos="2680"/>
              <w:tab w:val="center" w:pos="4500"/>
              <w:tab w:val="right" w:pos="8280"/>
            </w:tabs>
            <w:ind w:right="139"/>
            <w:jc w:val="left"/>
            <w:rPr>
              <w:rStyle w:val="PageNumber"/>
              <w:b/>
              <w:sz w:val="20"/>
              <w:szCs w:val="20"/>
            </w:rPr>
          </w:pPr>
          <w:r>
            <w:rPr>
              <w:noProof/>
              <w:lang w:eastAsia="en-GB"/>
            </w:rPr>
            <w:drawing>
              <wp:anchor distT="0" distB="0" distL="114300" distR="114300" simplePos="0" relativeHeight="251659264" behindDoc="1" locked="0" layoutInCell="1" allowOverlap="1" wp14:anchorId="6C0F02CA" wp14:editId="497B75E8">
                <wp:simplePos x="0" y="0"/>
                <wp:positionH relativeFrom="column">
                  <wp:posOffset>-4445</wp:posOffset>
                </wp:positionH>
                <wp:positionV relativeFrom="paragraph">
                  <wp:posOffset>34290</wp:posOffset>
                </wp:positionV>
                <wp:extent cx="1653540" cy="627380"/>
                <wp:effectExtent l="0" t="0" r="0" b="0"/>
                <wp:wrapTight wrapText="bothSides">
                  <wp:wrapPolygon edited="0">
                    <wp:start x="15926" y="0"/>
                    <wp:lineTo x="2240" y="3279"/>
                    <wp:lineTo x="0" y="4591"/>
                    <wp:lineTo x="0" y="12462"/>
                    <wp:lineTo x="2737" y="15085"/>
                    <wp:lineTo x="4479" y="16397"/>
                    <wp:lineTo x="19410" y="16397"/>
                    <wp:lineTo x="19161" y="5247"/>
                    <wp:lineTo x="17171" y="0"/>
                    <wp:lineTo x="15926"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479" t="21315"/>
                        <a:stretch/>
                      </pic:blipFill>
                      <pic:spPr bwMode="auto">
                        <a:xfrm>
                          <a:off x="0" y="0"/>
                          <a:ext cx="1653540" cy="627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371" w:type="dxa"/>
        </w:tcPr>
        <w:p w:rsidR="00171AEF" w:rsidRPr="00D977DC" w:rsidRDefault="00171AEF" w:rsidP="00DD182F">
          <w:pPr>
            <w:pStyle w:val="Header"/>
            <w:jc w:val="right"/>
            <w:rPr>
              <w:rFonts w:ascii="Arial" w:hAnsi="Arial"/>
              <w:sz w:val="18"/>
              <w:szCs w:val="18"/>
            </w:rPr>
          </w:pPr>
        </w:p>
        <w:p w:rsidR="00171AEF" w:rsidRPr="00D977DC" w:rsidRDefault="00171AEF" w:rsidP="002773C4">
          <w:pPr>
            <w:pStyle w:val="Header"/>
            <w:jc w:val="right"/>
            <w:rPr>
              <w:rFonts w:ascii="Arial" w:hAnsi="Arial"/>
              <w:sz w:val="18"/>
              <w:szCs w:val="18"/>
            </w:rPr>
          </w:pPr>
          <w:r w:rsidRPr="0073283A">
            <w:rPr>
              <w:rFonts w:ascii="Arial" w:hAnsi="Arial"/>
              <w:sz w:val="18"/>
              <w:szCs w:val="18"/>
            </w:rPr>
            <w:t xml:space="preserve">PDC-CI-001, Edition </w:t>
          </w:r>
          <w:r>
            <w:rPr>
              <w:rFonts w:ascii="Arial" w:hAnsi="Arial"/>
              <w:sz w:val="18"/>
              <w:szCs w:val="18"/>
            </w:rPr>
            <w:t>4</w:t>
          </w:r>
          <w:r w:rsidRPr="0073283A">
            <w:rPr>
              <w:rFonts w:ascii="Arial" w:hAnsi="Arial"/>
              <w:sz w:val="18"/>
              <w:szCs w:val="18"/>
            </w:rPr>
            <w:t>.</w:t>
          </w:r>
          <w:r>
            <w:rPr>
              <w:rFonts w:ascii="Arial" w:hAnsi="Arial"/>
              <w:sz w:val="18"/>
              <w:szCs w:val="18"/>
            </w:rPr>
            <w:t>1</w:t>
          </w:r>
        </w:p>
      </w:tc>
    </w:tr>
    <w:tr w:rsidR="00171AEF" w:rsidRPr="00186F5B" w:rsidTr="006630D3">
      <w:tc>
        <w:tcPr>
          <w:tcW w:w="3119" w:type="dxa"/>
          <w:vMerge/>
        </w:tcPr>
        <w:p w:rsidR="00171AEF" w:rsidRPr="009A010D" w:rsidRDefault="00171AEF" w:rsidP="00DD182F">
          <w:pPr>
            <w:pStyle w:val="Header"/>
            <w:tabs>
              <w:tab w:val="center" w:pos="4500"/>
              <w:tab w:val="right" w:pos="8280"/>
            </w:tabs>
            <w:jc w:val="right"/>
            <w:rPr>
              <w:rStyle w:val="PageNumber"/>
              <w:b/>
              <w:sz w:val="20"/>
              <w:szCs w:val="20"/>
            </w:rPr>
          </w:pPr>
        </w:p>
      </w:tc>
      <w:tc>
        <w:tcPr>
          <w:tcW w:w="7371" w:type="dxa"/>
        </w:tcPr>
        <w:p w:rsidR="00171AEF" w:rsidRPr="00D977DC" w:rsidRDefault="00171AEF" w:rsidP="00E56818">
          <w:pPr>
            <w:jc w:val="right"/>
            <w:rPr>
              <w:rFonts w:ascii="Arial" w:hAnsi="Arial"/>
              <w:sz w:val="18"/>
              <w:szCs w:val="18"/>
            </w:rPr>
          </w:pPr>
          <w:r w:rsidRPr="0073283A">
            <w:rPr>
              <w:rFonts w:ascii="Arial" w:hAnsi="Arial"/>
              <w:sz w:val="18"/>
              <w:szCs w:val="18"/>
            </w:rPr>
            <w:t>LMH, SE-HMDS</w:t>
          </w:r>
        </w:p>
      </w:tc>
    </w:tr>
  </w:tbl>
  <w:p w:rsidR="00171AEF" w:rsidRPr="00356DA6" w:rsidRDefault="00171AEF" w:rsidP="00356DA6">
    <w:pPr>
      <w:pStyle w:val="Header"/>
      <w:rPr>
        <w:rStyle w:val="PageNumber"/>
        <w:rFonts w:ascii="Verdana" w:hAnsi="Verdana"/>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743" w:type="dxa"/>
      <w:tblBorders>
        <w:bottom w:val="single" w:sz="4" w:space="0" w:color="auto"/>
      </w:tblBorders>
      <w:tblLayout w:type="fixed"/>
      <w:tblLook w:val="01E0" w:firstRow="1" w:lastRow="1" w:firstColumn="1" w:lastColumn="1" w:noHBand="0" w:noVBand="0"/>
    </w:tblPr>
    <w:tblGrid>
      <w:gridCol w:w="3119"/>
      <w:gridCol w:w="7371"/>
    </w:tblGrid>
    <w:tr w:rsidR="00171AEF" w:rsidRPr="00186F5B" w:rsidTr="006630D3">
      <w:trPr>
        <w:trHeight w:val="454"/>
      </w:trPr>
      <w:tc>
        <w:tcPr>
          <w:tcW w:w="3119" w:type="dxa"/>
          <w:vMerge w:val="restart"/>
        </w:tcPr>
        <w:p w:rsidR="00171AEF" w:rsidRPr="009A010D" w:rsidRDefault="00171AEF" w:rsidP="00DD182F">
          <w:pPr>
            <w:pStyle w:val="Header"/>
            <w:tabs>
              <w:tab w:val="center" w:pos="4500"/>
              <w:tab w:val="right" w:pos="8280"/>
            </w:tabs>
            <w:jc w:val="left"/>
            <w:rPr>
              <w:rStyle w:val="PageNumber"/>
              <w:b/>
              <w:sz w:val="20"/>
              <w:szCs w:val="20"/>
            </w:rPr>
          </w:pPr>
          <w:r w:rsidRPr="001254B3">
            <w:rPr>
              <w:noProof/>
              <w:lang w:eastAsia="en-GB"/>
            </w:rPr>
            <w:drawing>
              <wp:inline distT="0" distB="0" distL="0" distR="0" wp14:anchorId="32B5E486" wp14:editId="32B5E487">
                <wp:extent cx="1117600" cy="596900"/>
                <wp:effectExtent l="0" t="0" r="6350" b="0"/>
                <wp:docPr id="3" name="Picture 1" descr="C:\Documents and Settings\jskinner\Local Settings\Temporary Internet Files\Content.Word\VIAPATH_LOGO_01_COLOUR_GREY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skinner\Local Settings\Temporary Internet Files\Content.Word\VIAPATH_LOGO_01_COLOUR_GREY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596900"/>
                        </a:xfrm>
                        <a:prstGeom prst="rect">
                          <a:avLst/>
                        </a:prstGeom>
                        <a:noFill/>
                        <a:ln>
                          <a:noFill/>
                        </a:ln>
                      </pic:spPr>
                    </pic:pic>
                  </a:graphicData>
                </a:graphic>
              </wp:inline>
            </w:drawing>
          </w:r>
        </w:p>
      </w:tc>
      <w:tc>
        <w:tcPr>
          <w:tcW w:w="7371" w:type="dxa"/>
        </w:tcPr>
        <w:p w:rsidR="00171AEF" w:rsidRPr="008005E9" w:rsidRDefault="00171AEF" w:rsidP="00DD182F">
          <w:pPr>
            <w:pStyle w:val="Header"/>
            <w:jc w:val="right"/>
            <w:rPr>
              <w:sz w:val="20"/>
              <w:szCs w:val="20"/>
            </w:rPr>
          </w:pPr>
          <w:r>
            <w:rPr>
              <w:sz w:val="20"/>
              <w:szCs w:val="20"/>
            </w:rPr>
            <w:t>QPulse code and version no</w:t>
          </w:r>
        </w:p>
      </w:tc>
    </w:tr>
    <w:tr w:rsidR="00171AEF" w:rsidRPr="00186F5B" w:rsidTr="006630D3">
      <w:tc>
        <w:tcPr>
          <w:tcW w:w="3119" w:type="dxa"/>
          <w:vMerge/>
        </w:tcPr>
        <w:p w:rsidR="00171AEF" w:rsidRPr="009A010D" w:rsidRDefault="00171AEF" w:rsidP="00DD182F">
          <w:pPr>
            <w:pStyle w:val="Header"/>
            <w:tabs>
              <w:tab w:val="center" w:pos="4500"/>
              <w:tab w:val="right" w:pos="8280"/>
            </w:tabs>
            <w:jc w:val="right"/>
            <w:rPr>
              <w:rStyle w:val="PageNumber"/>
              <w:b/>
              <w:sz w:val="20"/>
              <w:szCs w:val="20"/>
            </w:rPr>
          </w:pPr>
        </w:p>
      </w:tc>
      <w:tc>
        <w:tcPr>
          <w:tcW w:w="7371" w:type="dxa"/>
        </w:tcPr>
        <w:p w:rsidR="00171AEF" w:rsidRPr="008005E9" w:rsidRDefault="00171AEF" w:rsidP="00DD182F">
          <w:pPr>
            <w:pStyle w:val="Header"/>
            <w:jc w:val="right"/>
            <w:rPr>
              <w:sz w:val="20"/>
              <w:szCs w:val="20"/>
            </w:rPr>
          </w:pPr>
          <w:r w:rsidRPr="00152CB1">
            <w:rPr>
              <w:sz w:val="20"/>
              <w:szCs w:val="20"/>
            </w:rPr>
            <w:t>Enter site address and laborator</w:t>
          </w:r>
          <w:r>
            <w:rPr>
              <w:sz w:val="20"/>
              <w:szCs w:val="20"/>
            </w:rPr>
            <w:t>y section (if required locally)</w:t>
          </w:r>
        </w:p>
      </w:tc>
    </w:tr>
  </w:tbl>
  <w:p w:rsidR="00171AEF" w:rsidRPr="0012221C" w:rsidRDefault="00171AEF" w:rsidP="00122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1245C60"/>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color w:val="auto"/>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B51F36"/>
    <w:multiLevelType w:val="hybridMultilevel"/>
    <w:tmpl w:val="0CD256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A3124E"/>
    <w:multiLevelType w:val="hybridMultilevel"/>
    <w:tmpl w:val="CC3003B2"/>
    <w:lvl w:ilvl="0" w:tplc="511E74CC">
      <w:start w:val="1"/>
      <w:numFmt w:val="decimal"/>
      <w:pStyle w:val="Heading4"/>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D34B4"/>
    <w:multiLevelType w:val="hybridMultilevel"/>
    <w:tmpl w:val="52169FA6"/>
    <w:lvl w:ilvl="0" w:tplc="81DEAEB8">
      <w:start w:val="1"/>
      <w:numFmt w:val="bullet"/>
      <w:lvlText w:val=""/>
      <w:lvlJc w:val="left"/>
      <w:pPr>
        <w:tabs>
          <w:tab w:val="num" w:pos="39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B3835"/>
    <w:multiLevelType w:val="hybridMultilevel"/>
    <w:tmpl w:val="1482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D15D9"/>
    <w:multiLevelType w:val="multilevel"/>
    <w:tmpl w:val="D65AF36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153370A8"/>
    <w:multiLevelType w:val="singleLevel"/>
    <w:tmpl w:val="000E5B2C"/>
    <w:lvl w:ilvl="0">
      <w:start w:val="1"/>
      <w:numFmt w:val="decimal"/>
      <w:pStyle w:val="Heading9"/>
      <w:lvlText w:val="Appendix %1."/>
      <w:lvlJc w:val="left"/>
      <w:pPr>
        <w:tabs>
          <w:tab w:val="num" w:pos="2268"/>
        </w:tabs>
        <w:ind w:left="2268" w:hanging="2268"/>
      </w:pPr>
      <w:rPr>
        <w:rFonts w:hint="default"/>
      </w:rPr>
    </w:lvl>
  </w:abstractNum>
  <w:abstractNum w:abstractNumId="7" w15:restartNumberingAfterBreak="0">
    <w:nsid w:val="17067808"/>
    <w:multiLevelType w:val="singleLevel"/>
    <w:tmpl w:val="28EC7122"/>
    <w:lvl w:ilvl="0">
      <w:start w:val="1"/>
      <w:numFmt w:val="lowerLetter"/>
      <w:lvlText w:val="%1."/>
      <w:lvlJc w:val="left"/>
      <w:pPr>
        <w:tabs>
          <w:tab w:val="num" w:pos="360"/>
        </w:tabs>
        <w:ind w:left="360" w:hanging="360"/>
      </w:pPr>
      <w:rPr>
        <w:rFonts w:hint="default"/>
      </w:rPr>
    </w:lvl>
  </w:abstractNum>
  <w:abstractNum w:abstractNumId="8" w15:restartNumberingAfterBreak="0">
    <w:nsid w:val="1FE07A6C"/>
    <w:multiLevelType w:val="hybridMultilevel"/>
    <w:tmpl w:val="DCE6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B733D"/>
    <w:multiLevelType w:val="multilevel"/>
    <w:tmpl w:val="ECA03A9A"/>
    <w:lvl w:ilvl="0">
      <w:start w:val="7"/>
      <w:numFmt w:val="decimal"/>
      <w:lvlText w:val="%1"/>
      <w:lvlJc w:val="left"/>
      <w:pPr>
        <w:ind w:left="570" w:hanging="57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A4C549D"/>
    <w:multiLevelType w:val="hybridMultilevel"/>
    <w:tmpl w:val="96E2C5D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D02536"/>
    <w:multiLevelType w:val="multilevel"/>
    <w:tmpl w:val="D65AF36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AED1104"/>
    <w:multiLevelType w:val="hybridMultilevel"/>
    <w:tmpl w:val="D94611FC"/>
    <w:lvl w:ilvl="0" w:tplc="C9C63B6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C2A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990412"/>
    <w:multiLevelType w:val="hybridMultilevel"/>
    <w:tmpl w:val="2B6674F2"/>
    <w:lvl w:ilvl="0" w:tplc="C7E67F1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76B23"/>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29F47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663DF2"/>
    <w:multiLevelType w:val="hybridMultilevel"/>
    <w:tmpl w:val="4A3AE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B46525"/>
    <w:multiLevelType w:val="hybridMultilevel"/>
    <w:tmpl w:val="A13E400C"/>
    <w:lvl w:ilvl="0" w:tplc="9EAA4B78">
      <w:start w:val="1"/>
      <w:numFmt w:val="decimal"/>
      <w:lvlText w:val="%1."/>
      <w:lvlJc w:val="left"/>
      <w:pPr>
        <w:tabs>
          <w:tab w:val="num" w:pos="436"/>
        </w:tabs>
        <w:ind w:left="436" w:hanging="436"/>
      </w:pPr>
      <w:rPr>
        <w:rFonts w:ascii="Arial" w:hAnsi="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9208FC"/>
    <w:multiLevelType w:val="hybridMultilevel"/>
    <w:tmpl w:val="A360488C"/>
    <w:lvl w:ilvl="0" w:tplc="B33A324A">
      <w:start w:val="1"/>
      <w:numFmt w:val="bullet"/>
      <w:pStyle w:val="BodyText"/>
      <w:lvlText w:val=""/>
      <w:lvlJc w:val="left"/>
      <w:pPr>
        <w:tabs>
          <w:tab w:val="num" w:pos="567"/>
        </w:tabs>
        <w:ind w:left="567"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AC7AEC"/>
    <w:multiLevelType w:val="hybridMultilevel"/>
    <w:tmpl w:val="E0084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2E3BCB"/>
    <w:multiLevelType w:val="multilevel"/>
    <w:tmpl w:val="436A9322"/>
    <w:lvl w:ilvl="0">
      <w:start w:val="7"/>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3D425B6A"/>
    <w:multiLevelType w:val="multilevel"/>
    <w:tmpl w:val="CD445666"/>
    <w:lvl w:ilvl="0">
      <w:start w:val="1"/>
      <w:numFmt w:val="lowerRoman"/>
      <w:pStyle w:val="Protocol1"/>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5137A4"/>
    <w:multiLevelType w:val="multilevel"/>
    <w:tmpl w:val="82965D22"/>
    <w:lvl w:ilvl="0">
      <w:start w:val="7"/>
      <w:numFmt w:val="decimal"/>
      <w:lvlText w:val="%1"/>
      <w:lvlJc w:val="left"/>
      <w:pPr>
        <w:ind w:left="468" w:hanging="468"/>
      </w:pPr>
      <w:rPr>
        <w:rFonts w:hint="default"/>
      </w:rPr>
    </w:lvl>
    <w:lvl w:ilvl="1">
      <w:start w:val="1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BA36F9"/>
    <w:multiLevelType w:val="multilevel"/>
    <w:tmpl w:val="677C8B3A"/>
    <w:lvl w:ilvl="0">
      <w:start w:val="7"/>
      <w:numFmt w:val="decimal"/>
      <w:lvlText w:val="%1"/>
      <w:lvlJc w:val="left"/>
      <w:pPr>
        <w:ind w:left="792" w:hanging="792"/>
      </w:pPr>
      <w:rPr>
        <w:rFonts w:hint="default"/>
      </w:rPr>
    </w:lvl>
    <w:lvl w:ilvl="1">
      <w:start w:val="10"/>
      <w:numFmt w:val="decimal"/>
      <w:lvlText w:val="%1.%2"/>
      <w:lvlJc w:val="left"/>
      <w:pPr>
        <w:ind w:left="792" w:hanging="792"/>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A4171C3"/>
    <w:multiLevelType w:val="hybridMultilevel"/>
    <w:tmpl w:val="1CE24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957642"/>
    <w:multiLevelType w:val="multilevel"/>
    <w:tmpl w:val="16B6AA9E"/>
    <w:lvl w:ilvl="0">
      <w:start w:val="7"/>
      <w:numFmt w:val="decimal"/>
      <w:lvlText w:val="%1"/>
      <w:lvlJc w:val="left"/>
      <w:pPr>
        <w:ind w:left="792" w:hanging="792"/>
      </w:pPr>
      <w:rPr>
        <w:rFonts w:hint="default"/>
      </w:rPr>
    </w:lvl>
    <w:lvl w:ilvl="1">
      <w:start w:val="10"/>
      <w:numFmt w:val="decimal"/>
      <w:lvlText w:val="%1.%2"/>
      <w:lvlJc w:val="left"/>
      <w:pPr>
        <w:ind w:left="792" w:hanging="792"/>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A9D2346"/>
    <w:multiLevelType w:val="multilevel"/>
    <w:tmpl w:val="CA6ABF72"/>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9F2E2B"/>
    <w:multiLevelType w:val="singleLevel"/>
    <w:tmpl w:val="BF5CD1B0"/>
    <w:lvl w:ilvl="0">
      <w:start w:val="1"/>
      <w:numFmt w:val="decimal"/>
      <w:lvlText w:val="%1"/>
      <w:legacy w:legacy="1" w:legacySpace="0" w:legacyIndent="283"/>
      <w:lvlJc w:val="left"/>
      <w:pPr>
        <w:ind w:left="1134" w:hanging="283"/>
      </w:pPr>
    </w:lvl>
  </w:abstractNum>
  <w:abstractNum w:abstractNumId="29" w15:restartNumberingAfterBreak="0">
    <w:nsid w:val="53703252"/>
    <w:multiLevelType w:val="multilevel"/>
    <w:tmpl w:val="5638249E"/>
    <w:styleLink w:val="StyleBulleted"/>
    <w:lvl w:ilvl="0">
      <w:start w:val="1"/>
      <w:numFmt w:val="bullet"/>
      <w:lvlText w:val=""/>
      <w:lvlJc w:val="left"/>
      <w:pPr>
        <w:tabs>
          <w:tab w:val="num" w:pos="567"/>
        </w:tabs>
        <w:ind w:left="567" w:hanging="51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94404"/>
    <w:multiLevelType w:val="multilevel"/>
    <w:tmpl w:val="44062E3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sz w:val="24"/>
        <w:szCs w:val="24"/>
      </w:rPr>
    </w:lvl>
    <w:lvl w:ilvl="2">
      <w:start w:val="5"/>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080" w:hanging="1080"/>
      </w:pPr>
      <w:rPr>
        <w:rFonts w:hint="default"/>
        <w:sz w:val="20"/>
      </w:rPr>
    </w:lvl>
    <w:lvl w:ilvl="6">
      <w:start w:val="1"/>
      <w:numFmt w:val="decimal"/>
      <w:isLgl/>
      <w:lvlText w:val="%1.%2.%3.%4.%5.%6.%7"/>
      <w:lvlJc w:val="left"/>
      <w:pPr>
        <w:ind w:left="1080" w:hanging="1080"/>
      </w:pPr>
      <w:rPr>
        <w:rFonts w:hint="default"/>
        <w:sz w:val="20"/>
      </w:rPr>
    </w:lvl>
    <w:lvl w:ilvl="7">
      <w:start w:val="1"/>
      <w:numFmt w:val="decimal"/>
      <w:isLgl/>
      <w:lvlText w:val="%1.%2.%3.%4.%5.%6.%7.%8"/>
      <w:lvlJc w:val="left"/>
      <w:pPr>
        <w:ind w:left="1440" w:hanging="1440"/>
      </w:pPr>
      <w:rPr>
        <w:rFonts w:hint="default"/>
        <w:sz w:val="20"/>
      </w:rPr>
    </w:lvl>
    <w:lvl w:ilvl="8">
      <w:start w:val="1"/>
      <w:numFmt w:val="decimal"/>
      <w:isLgl/>
      <w:lvlText w:val="%1.%2.%3.%4.%5.%6.%7.%8.%9"/>
      <w:lvlJc w:val="left"/>
      <w:pPr>
        <w:ind w:left="1440" w:hanging="1440"/>
      </w:pPr>
      <w:rPr>
        <w:rFonts w:hint="default"/>
        <w:sz w:val="20"/>
      </w:rPr>
    </w:lvl>
  </w:abstractNum>
  <w:abstractNum w:abstractNumId="31" w15:restartNumberingAfterBreak="0">
    <w:nsid w:val="5D457BE4"/>
    <w:multiLevelType w:val="hybridMultilevel"/>
    <w:tmpl w:val="B046FFB6"/>
    <w:lvl w:ilvl="0" w:tplc="2B7EF536">
      <w:start w:val="15"/>
      <w:numFmt w:val="bullet"/>
      <w:lvlText w:val="-"/>
      <w:lvlJc w:val="left"/>
      <w:pPr>
        <w:ind w:left="440" w:hanging="360"/>
      </w:pPr>
      <w:rPr>
        <w:rFonts w:ascii="Verdana" w:eastAsia="Times New Roman" w:hAnsi="Verdana" w:cs="Arial"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32" w15:restartNumberingAfterBreak="0">
    <w:nsid w:val="5F231B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1F4BD2"/>
    <w:multiLevelType w:val="hybridMultilevel"/>
    <w:tmpl w:val="06460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CF4CB8"/>
    <w:multiLevelType w:val="hybridMultilevel"/>
    <w:tmpl w:val="E208CB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1A13EE"/>
    <w:multiLevelType w:val="singleLevel"/>
    <w:tmpl w:val="E2FA10B8"/>
    <w:lvl w:ilvl="0">
      <w:start w:val="1"/>
      <w:numFmt w:val="bullet"/>
      <w:pStyle w:val="Protocol2"/>
      <w:lvlText w:val=""/>
      <w:lvlJc w:val="left"/>
      <w:pPr>
        <w:tabs>
          <w:tab w:val="num" w:pos="851"/>
        </w:tabs>
        <w:ind w:left="851" w:hanging="284"/>
      </w:pPr>
      <w:rPr>
        <w:rFonts w:ascii="Symbol" w:hAnsi="Symbol" w:hint="default"/>
      </w:rPr>
    </w:lvl>
  </w:abstractNum>
  <w:abstractNum w:abstractNumId="36" w15:restartNumberingAfterBreak="0">
    <w:nsid w:val="7CBC00B9"/>
    <w:multiLevelType w:val="multilevel"/>
    <w:tmpl w:val="16B6AA9E"/>
    <w:lvl w:ilvl="0">
      <w:start w:val="7"/>
      <w:numFmt w:val="decimal"/>
      <w:lvlText w:val="%1"/>
      <w:lvlJc w:val="left"/>
      <w:pPr>
        <w:ind w:left="792" w:hanging="792"/>
      </w:pPr>
      <w:rPr>
        <w:rFonts w:hint="default"/>
      </w:rPr>
    </w:lvl>
    <w:lvl w:ilvl="1">
      <w:start w:val="10"/>
      <w:numFmt w:val="decimal"/>
      <w:lvlText w:val="%1.%2"/>
      <w:lvlJc w:val="left"/>
      <w:pPr>
        <w:ind w:left="792" w:hanging="792"/>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28"/>
  </w:num>
  <w:num w:numId="3">
    <w:abstractNumId w:val="28"/>
    <w:lvlOverride w:ilvl="0">
      <w:lvl w:ilvl="0">
        <w:start w:val="1"/>
        <w:numFmt w:val="decimal"/>
        <w:lvlText w:val="%1"/>
        <w:legacy w:legacy="1" w:legacySpace="0" w:legacyIndent="283"/>
        <w:lvlJc w:val="left"/>
        <w:pPr>
          <w:ind w:left="1134" w:hanging="283"/>
        </w:pPr>
      </w:lvl>
    </w:lvlOverride>
  </w:num>
  <w:num w:numId="4">
    <w:abstractNumId w:val="28"/>
    <w:lvlOverride w:ilvl="0">
      <w:lvl w:ilvl="0">
        <w:start w:val="1"/>
        <w:numFmt w:val="decimal"/>
        <w:lvlText w:val="%1"/>
        <w:legacy w:legacy="1" w:legacySpace="0" w:legacyIndent="283"/>
        <w:lvlJc w:val="left"/>
        <w:pPr>
          <w:ind w:left="1134" w:hanging="283"/>
        </w:pPr>
      </w:lvl>
    </w:lvlOverride>
  </w:num>
  <w:num w:numId="5">
    <w:abstractNumId w:val="6"/>
  </w:num>
  <w:num w:numId="6">
    <w:abstractNumId w:val="35"/>
  </w:num>
  <w:num w:numId="7">
    <w:abstractNumId w:val="29"/>
  </w:num>
  <w:num w:numId="8">
    <w:abstractNumId w:val="19"/>
  </w:num>
  <w:num w:numId="9">
    <w:abstractNumId w:val="12"/>
  </w:num>
  <w:num w:numId="10">
    <w:abstractNumId w:val="22"/>
  </w:num>
  <w:num w:numId="11">
    <w:abstractNumId w:val="6"/>
  </w:num>
  <w:num w:numId="12">
    <w:abstractNumId w:val="6"/>
  </w:num>
  <w:num w:numId="13">
    <w:abstractNumId w:val="17"/>
  </w:num>
  <w:num w:numId="14">
    <w:abstractNumId w:val="10"/>
  </w:num>
  <w:num w:numId="15">
    <w:abstractNumId w:val="7"/>
  </w:num>
  <w:num w:numId="16">
    <w:abstractNumId w:val="1"/>
  </w:num>
  <w:num w:numId="17">
    <w:abstractNumId w:val="15"/>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1"/>
  </w:num>
  <w:num w:numId="22">
    <w:abstractNumId w:val="33"/>
  </w:num>
  <w:num w:numId="23">
    <w:abstractNumId w:val="34"/>
  </w:num>
  <w:num w:numId="24">
    <w:abstractNumId w:val="0"/>
  </w:num>
  <w:num w:numId="25">
    <w:abstractNumId w:val="0"/>
  </w:num>
  <w:num w:numId="26">
    <w:abstractNumId w:val="16"/>
  </w:num>
  <w:num w:numId="27">
    <w:abstractNumId w:val="2"/>
  </w:num>
  <w:num w:numId="28">
    <w:abstractNumId w:val="4"/>
  </w:num>
  <w:num w:numId="29">
    <w:abstractNumId w:val="11"/>
  </w:num>
  <w:num w:numId="30">
    <w:abstractNumId w:val="5"/>
  </w:num>
  <w:num w:numId="31">
    <w:abstractNumId w:val="25"/>
  </w:num>
  <w:num w:numId="32">
    <w:abstractNumId w:val="3"/>
  </w:num>
  <w:num w:numId="33">
    <w:abstractNumId w:val="30"/>
  </w:num>
  <w:num w:numId="34">
    <w:abstractNumId w:val="20"/>
  </w:num>
  <w:num w:numId="35">
    <w:abstractNumId w:val="27"/>
  </w:num>
  <w:num w:numId="36">
    <w:abstractNumId w:val="13"/>
  </w:num>
  <w:num w:numId="37">
    <w:abstractNumId w:val="14"/>
  </w:num>
  <w:num w:numId="38">
    <w:abstractNumId w:val="18"/>
  </w:num>
  <w:num w:numId="39">
    <w:abstractNumId w:val="32"/>
  </w:num>
  <w:num w:numId="40">
    <w:abstractNumId w:val="23"/>
  </w:num>
  <w:num w:numId="41">
    <w:abstractNumId w:val="9"/>
  </w:num>
  <w:num w:numId="42">
    <w:abstractNumId w:val="21"/>
  </w:num>
  <w:num w:numId="43">
    <w:abstractNumId w:val="24"/>
  </w:num>
  <w:num w:numId="44">
    <w:abstractNumId w:val="26"/>
  </w:num>
  <w:num w:numId="45">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A9"/>
    <w:rsid w:val="0000129C"/>
    <w:rsid w:val="00005BA4"/>
    <w:rsid w:val="0001034B"/>
    <w:rsid w:val="00010C21"/>
    <w:rsid w:val="00013D15"/>
    <w:rsid w:val="00015B0A"/>
    <w:rsid w:val="00016DBD"/>
    <w:rsid w:val="00021D00"/>
    <w:rsid w:val="00025405"/>
    <w:rsid w:val="000434E4"/>
    <w:rsid w:val="00051795"/>
    <w:rsid w:val="0006617C"/>
    <w:rsid w:val="00085190"/>
    <w:rsid w:val="000903C0"/>
    <w:rsid w:val="00097635"/>
    <w:rsid w:val="000A22F1"/>
    <w:rsid w:val="000B39AF"/>
    <w:rsid w:val="000B52EA"/>
    <w:rsid w:val="000B5C96"/>
    <w:rsid w:val="000B6C3B"/>
    <w:rsid w:val="000C10EC"/>
    <w:rsid w:val="000C5168"/>
    <w:rsid w:val="000C6A1E"/>
    <w:rsid w:val="000C7F6F"/>
    <w:rsid w:val="000D0733"/>
    <w:rsid w:val="000D105B"/>
    <w:rsid w:val="000D4762"/>
    <w:rsid w:val="000E4E9D"/>
    <w:rsid w:val="000E5A21"/>
    <w:rsid w:val="000E5EFD"/>
    <w:rsid w:val="000E742A"/>
    <w:rsid w:val="000F5FBA"/>
    <w:rsid w:val="000F6FCC"/>
    <w:rsid w:val="001025C0"/>
    <w:rsid w:val="001027DE"/>
    <w:rsid w:val="00110965"/>
    <w:rsid w:val="00116980"/>
    <w:rsid w:val="001209B4"/>
    <w:rsid w:val="0012221C"/>
    <w:rsid w:val="001233FC"/>
    <w:rsid w:val="00133015"/>
    <w:rsid w:val="00146B99"/>
    <w:rsid w:val="001526C3"/>
    <w:rsid w:val="00165A04"/>
    <w:rsid w:val="00167731"/>
    <w:rsid w:val="00171AEF"/>
    <w:rsid w:val="00182402"/>
    <w:rsid w:val="001832EC"/>
    <w:rsid w:val="00186F5B"/>
    <w:rsid w:val="00187B36"/>
    <w:rsid w:val="00193A29"/>
    <w:rsid w:val="00193F4B"/>
    <w:rsid w:val="00196001"/>
    <w:rsid w:val="001A0E69"/>
    <w:rsid w:val="001A1695"/>
    <w:rsid w:val="001A46F2"/>
    <w:rsid w:val="001B06A3"/>
    <w:rsid w:val="001C060F"/>
    <w:rsid w:val="001C215F"/>
    <w:rsid w:val="001C3ECC"/>
    <w:rsid w:val="001C5CDE"/>
    <w:rsid w:val="001C75CE"/>
    <w:rsid w:val="001D02F2"/>
    <w:rsid w:val="001D2C3D"/>
    <w:rsid w:val="001E3F19"/>
    <w:rsid w:val="001E6DF9"/>
    <w:rsid w:val="001F75EF"/>
    <w:rsid w:val="001F7838"/>
    <w:rsid w:val="00202F6C"/>
    <w:rsid w:val="00210116"/>
    <w:rsid w:val="0021123F"/>
    <w:rsid w:val="002163E3"/>
    <w:rsid w:val="00220047"/>
    <w:rsid w:val="00220A5C"/>
    <w:rsid w:val="00220BF3"/>
    <w:rsid w:val="00221BEE"/>
    <w:rsid w:val="00224334"/>
    <w:rsid w:val="002261B3"/>
    <w:rsid w:val="00230FAD"/>
    <w:rsid w:val="002363C6"/>
    <w:rsid w:val="0024034E"/>
    <w:rsid w:val="0024062B"/>
    <w:rsid w:val="00246A42"/>
    <w:rsid w:val="0025079B"/>
    <w:rsid w:val="00253D3F"/>
    <w:rsid w:val="00253EE4"/>
    <w:rsid w:val="0025788D"/>
    <w:rsid w:val="002617E4"/>
    <w:rsid w:val="002621D7"/>
    <w:rsid w:val="0026463D"/>
    <w:rsid w:val="00267E92"/>
    <w:rsid w:val="00275207"/>
    <w:rsid w:val="002773C4"/>
    <w:rsid w:val="00281503"/>
    <w:rsid w:val="002830DD"/>
    <w:rsid w:val="002858A9"/>
    <w:rsid w:val="002879DA"/>
    <w:rsid w:val="00291569"/>
    <w:rsid w:val="00291C79"/>
    <w:rsid w:val="00291CE2"/>
    <w:rsid w:val="00292919"/>
    <w:rsid w:val="00293D0C"/>
    <w:rsid w:val="0029535B"/>
    <w:rsid w:val="0029646C"/>
    <w:rsid w:val="00297EEC"/>
    <w:rsid w:val="002C2B33"/>
    <w:rsid w:val="002C5AD5"/>
    <w:rsid w:val="002E6E9F"/>
    <w:rsid w:val="002F434C"/>
    <w:rsid w:val="002F6039"/>
    <w:rsid w:val="003041BA"/>
    <w:rsid w:val="00306631"/>
    <w:rsid w:val="003079E4"/>
    <w:rsid w:val="00315FE6"/>
    <w:rsid w:val="0032178E"/>
    <w:rsid w:val="00332F7D"/>
    <w:rsid w:val="00342A87"/>
    <w:rsid w:val="003430C6"/>
    <w:rsid w:val="00345A7E"/>
    <w:rsid w:val="00356DA6"/>
    <w:rsid w:val="003601F7"/>
    <w:rsid w:val="00363E66"/>
    <w:rsid w:val="00367B99"/>
    <w:rsid w:val="003858CA"/>
    <w:rsid w:val="003864E7"/>
    <w:rsid w:val="00390F7C"/>
    <w:rsid w:val="003949AC"/>
    <w:rsid w:val="003A30F2"/>
    <w:rsid w:val="003A447D"/>
    <w:rsid w:val="003B0082"/>
    <w:rsid w:val="003B6C7B"/>
    <w:rsid w:val="003C720A"/>
    <w:rsid w:val="003D7B8D"/>
    <w:rsid w:val="003E0974"/>
    <w:rsid w:val="003E1AF3"/>
    <w:rsid w:val="003E5DC6"/>
    <w:rsid w:val="003E6C77"/>
    <w:rsid w:val="003F71E1"/>
    <w:rsid w:val="00407733"/>
    <w:rsid w:val="00413B9C"/>
    <w:rsid w:val="00421CB8"/>
    <w:rsid w:val="0044500C"/>
    <w:rsid w:val="00453F2B"/>
    <w:rsid w:val="00461819"/>
    <w:rsid w:val="004625A6"/>
    <w:rsid w:val="00463FBB"/>
    <w:rsid w:val="00464765"/>
    <w:rsid w:val="00464AD5"/>
    <w:rsid w:val="00466034"/>
    <w:rsid w:val="00474D56"/>
    <w:rsid w:val="004752BD"/>
    <w:rsid w:val="004803C1"/>
    <w:rsid w:val="004817DC"/>
    <w:rsid w:val="00490DD0"/>
    <w:rsid w:val="004942A1"/>
    <w:rsid w:val="00495288"/>
    <w:rsid w:val="004A2311"/>
    <w:rsid w:val="004A75F9"/>
    <w:rsid w:val="004A7F5D"/>
    <w:rsid w:val="004B0073"/>
    <w:rsid w:val="004B04AD"/>
    <w:rsid w:val="004C3D51"/>
    <w:rsid w:val="004C7948"/>
    <w:rsid w:val="004D3DCC"/>
    <w:rsid w:val="004D7B8D"/>
    <w:rsid w:val="004E6224"/>
    <w:rsid w:val="004F0D98"/>
    <w:rsid w:val="004F4FAB"/>
    <w:rsid w:val="004F77A0"/>
    <w:rsid w:val="0050199A"/>
    <w:rsid w:val="00506DE0"/>
    <w:rsid w:val="00512E05"/>
    <w:rsid w:val="00514CB9"/>
    <w:rsid w:val="005228E2"/>
    <w:rsid w:val="00525E94"/>
    <w:rsid w:val="00527F23"/>
    <w:rsid w:val="0053115F"/>
    <w:rsid w:val="00532A1A"/>
    <w:rsid w:val="005369DC"/>
    <w:rsid w:val="00540DD5"/>
    <w:rsid w:val="00543582"/>
    <w:rsid w:val="0054481E"/>
    <w:rsid w:val="0054741A"/>
    <w:rsid w:val="00553646"/>
    <w:rsid w:val="005614FA"/>
    <w:rsid w:val="005650C9"/>
    <w:rsid w:val="00570F45"/>
    <w:rsid w:val="005815F9"/>
    <w:rsid w:val="00590FBC"/>
    <w:rsid w:val="00592B3F"/>
    <w:rsid w:val="005950AE"/>
    <w:rsid w:val="005B2378"/>
    <w:rsid w:val="005B2C61"/>
    <w:rsid w:val="005D24A9"/>
    <w:rsid w:val="005D2CC5"/>
    <w:rsid w:val="005D40FA"/>
    <w:rsid w:val="005D4FB9"/>
    <w:rsid w:val="005E0330"/>
    <w:rsid w:val="005F0DEC"/>
    <w:rsid w:val="005F1622"/>
    <w:rsid w:val="005F1659"/>
    <w:rsid w:val="005F5085"/>
    <w:rsid w:val="005F68B7"/>
    <w:rsid w:val="006052C3"/>
    <w:rsid w:val="006074C3"/>
    <w:rsid w:val="00607C0C"/>
    <w:rsid w:val="00614520"/>
    <w:rsid w:val="0062005A"/>
    <w:rsid w:val="006261B3"/>
    <w:rsid w:val="006325CE"/>
    <w:rsid w:val="00641B77"/>
    <w:rsid w:val="006430C0"/>
    <w:rsid w:val="00643A2A"/>
    <w:rsid w:val="006462F0"/>
    <w:rsid w:val="00651C3A"/>
    <w:rsid w:val="00654AA2"/>
    <w:rsid w:val="006630D3"/>
    <w:rsid w:val="00665E2D"/>
    <w:rsid w:val="006732E6"/>
    <w:rsid w:val="006831FC"/>
    <w:rsid w:val="00693895"/>
    <w:rsid w:val="00694F7F"/>
    <w:rsid w:val="006A2503"/>
    <w:rsid w:val="006A3CE0"/>
    <w:rsid w:val="006A4A4E"/>
    <w:rsid w:val="006A52FB"/>
    <w:rsid w:val="006A5EF6"/>
    <w:rsid w:val="006A784C"/>
    <w:rsid w:val="006B087A"/>
    <w:rsid w:val="006B0FDB"/>
    <w:rsid w:val="006B771E"/>
    <w:rsid w:val="006C6F35"/>
    <w:rsid w:val="006E0E2A"/>
    <w:rsid w:val="006E20FD"/>
    <w:rsid w:val="006E64B4"/>
    <w:rsid w:val="006F6211"/>
    <w:rsid w:val="0071113D"/>
    <w:rsid w:val="007153E6"/>
    <w:rsid w:val="007237F2"/>
    <w:rsid w:val="00726EBF"/>
    <w:rsid w:val="00727CC1"/>
    <w:rsid w:val="00730F64"/>
    <w:rsid w:val="00734C4C"/>
    <w:rsid w:val="007418EA"/>
    <w:rsid w:val="007505FA"/>
    <w:rsid w:val="00752453"/>
    <w:rsid w:val="00753709"/>
    <w:rsid w:val="0075504D"/>
    <w:rsid w:val="00771873"/>
    <w:rsid w:val="007851C9"/>
    <w:rsid w:val="00792223"/>
    <w:rsid w:val="007942E1"/>
    <w:rsid w:val="0079470C"/>
    <w:rsid w:val="00794CD0"/>
    <w:rsid w:val="007952CF"/>
    <w:rsid w:val="007A070C"/>
    <w:rsid w:val="007A0902"/>
    <w:rsid w:val="007A2A27"/>
    <w:rsid w:val="007A574C"/>
    <w:rsid w:val="007B4D2A"/>
    <w:rsid w:val="007B546E"/>
    <w:rsid w:val="007C01FE"/>
    <w:rsid w:val="007C17E4"/>
    <w:rsid w:val="007D1D9D"/>
    <w:rsid w:val="007D32C4"/>
    <w:rsid w:val="007D69EC"/>
    <w:rsid w:val="007E0CA9"/>
    <w:rsid w:val="007E49DE"/>
    <w:rsid w:val="007E4A4B"/>
    <w:rsid w:val="007F118A"/>
    <w:rsid w:val="007F668D"/>
    <w:rsid w:val="00800F54"/>
    <w:rsid w:val="008017A6"/>
    <w:rsid w:val="0080226F"/>
    <w:rsid w:val="00805E77"/>
    <w:rsid w:val="008221D4"/>
    <w:rsid w:val="00823249"/>
    <w:rsid w:val="00833C95"/>
    <w:rsid w:val="0085335A"/>
    <w:rsid w:val="0085689B"/>
    <w:rsid w:val="00863DDF"/>
    <w:rsid w:val="008640C5"/>
    <w:rsid w:val="00875219"/>
    <w:rsid w:val="00886BE6"/>
    <w:rsid w:val="008A17DE"/>
    <w:rsid w:val="008A7B05"/>
    <w:rsid w:val="008B016B"/>
    <w:rsid w:val="008D581E"/>
    <w:rsid w:val="008E695D"/>
    <w:rsid w:val="008E79C1"/>
    <w:rsid w:val="008F00A1"/>
    <w:rsid w:val="008F56CB"/>
    <w:rsid w:val="008F58E5"/>
    <w:rsid w:val="00902AF5"/>
    <w:rsid w:val="00910653"/>
    <w:rsid w:val="00924AFD"/>
    <w:rsid w:val="00927A7D"/>
    <w:rsid w:val="009314B2"/>
    <w:rsid w:val="00932AE6"/>
    <w:rsid w:val="00935956"/>
    <w:rsid w:val="00936D71"/>
    <w:rsid w:val="009448EB"/>
    <w:rsid w:val="00965AC1"/>
    <w:rsid w:val="009667CF"/>
    <w:rsid w:val="009823C2"/>
    <w:rsid w:val="00985794"/>
    <w:rsid w:val="00993502"/>
    <w:rsid w:val="009A010D"/>
    <w:rsid w:val="009A2A21"/>
    <w:rsid w:val="009A5D63"/>
    <w:rsid w:val="009B0714"/>
    <w:rsid w:val="009B1F42"/>
    <w:rsid w:val="009B20F9"/>
    <w:rsid w:val="009B55C2"/>
    <w:rsid w:val="009B5820"/>
    <w:rsid w:val="009B7394"/>
    <w:rsid w:val="009C0485"/>
    <w:rsid w:val="009D0023"/>
    <w:rsid w:val="009D6723"/>
    <w:rsid w:val="009E12DD"/>
    <w:rsid w:val="009E26BA"/>
    <w:rsid w:val="009E6EB6"/>
    <w:rsid w:val="009F2EC7"/>
    <w:rsid w:val="00A036CE"/>
    <w:rsid w:val="00A04CBE"/>
    <w:rsid w:val="00A05342"/>
    <w:rsid w:val="00A07B70"/>
    <w:rsid w:val="00A1013B"/>
    <w:rsid w:val="00A10C69"/>
    <w:rsid w:val="00A14AB3"/>
    <w:rsid w:val="00A20FF9"/>
    <w:rsid w:val="00A21BB3"/>
    <w:rsid w:val="00A231D1"/>
    <w:rsid w:val="00A32AD5"/>
    <w:rsid w:val="00A35D8D"/>
    <w:rsid w:val="00A37FED"/>
    <w:rsid w:val="00A44DC0"/>
    <w:rsid w:val="00A45443"/>
    <w:rsid w:val="00A537FC"/>
    <w:rsid w:val="00A53833"/>
    <w:rsid w:val="00A60B2D"/>
    <w:rsid w:val="00A63D2A"/>
    <w:rsid w:val="00A66DCD"/>
    <w:rsid w:val="00A81505"/>
    <w:rsid w:val="00A829C4"/>
    <w:rsid w:val="00A914C0"/>
    <w:rsid w:val="00A9499F"/>
    <w:rsid w:val="00A967C0"/>
    <w:rsid w:val="00A969F1"/>
    <w:rsid w:val="00AA148B"/>
    <w:rsid w:val="00AB5ADA"/>
    <w:rsid w:val="00AB61B4"/>
    <w:rsid w:val="00AB75E4"/>
    <w:rsid w:val="00AE2F87"/>
    <w:rsid w:val="00AE4FB2"/>
    <w:rsid w:val="00AF173A"/>
    <w:rsid w:val="00B00FA8"/>
    <w:rsid w:val="00B15FA8"/>
    <w:rsid w:val="00B2267E"/>
    <w:rsid w:val="00B33D24"/>
    <w:rsid w:val="00B36E77"/>
    <w:rsid w:val="00B413B7"/>
    <w:rsid w:val="00B422BD"/>
    <w:rsid w:val="00B54095"/>
    <w:rsid w:val="00B54957"/>
    <w:rsid w:val="00B56662"/>
    <w:rsid w:val="00B60486"/>
    <w:rsid w:val="00B61456"/>
    <w:rsid w:val="00B66FFC"/>
    <w:rsid w:val="00B70CD5"/>
    <w:rsid w:val="00B85552"/>
    <w:rsid w:val="00B85F10"/>
    <w:rsid w:val="00BA2420"/>
    <w:rsid w:val="00BA6E8C"/>
    <w:rsid w:val="00BB4248"/>
    <w:rsid w:val="00BC5701"/>
    <w:rsid w:val="00BC6EE1"/>
    <w:rsid w:val="00BD4519"/>
    <w:rsid w:val="00BD53F9"/>
    <w:rsid w:val="00BE1D62"/>
    <w:rsid w:val="00BE2816"/>
    <w:rsid w:val="00BF1420"/>
    <w:rsid w:val="00BF327F"/>
    <w:rsid w:val="00BF38F1"/>
    <w:rsid w:val="00BF39BC"/>
    <w:rsid w:val="00C002EB"/>
    <w:rsid w:val="00C03AA0"/>
    <w:rsid w:val="00C1590E"/>
    <w:rsid w:val="00C16B0B"/>
    <w:rsid w:val="00C2064F"/>
    <w:rsid w:val="00C21AA0"/>
    <w:rsid w:val="00C27191"/>
    <w:rsid w:val="00C34426"/>
    <w:rsid w:val="00C63D21"/>
    <w:rsid w:val="00C656F7"/>
    <w:rsid w:val="00C70CD9"/>
    <w:rsid w:val="00C71295"/>
    <w:rsid w:val="00C80265"/>
    <w:rsid w:val="00C927BE"/>
    <w:rsid w:val="00C935B3"/>
    <w:rsid w:val="00C95FEA"/>
    <w:rsid w:val="00CA1ACF"/>
    <w:rsid w:val="00CA67A6"/>
    <w:rsid w:val="00CB7336"/>
    <w:rsid w:val="00CC2ABA"/>
    <w:rsid w:val="00CD3BA9"/>
    <w:rsid w:val="00CD5208"/>
    <w:rsid w:val="00CE425A"/>
    <w:rsid w:val="00CF2411"/>
    <w:rsid w:val="00CF5C28"/>
    <w:rsid w:val="00CF7FE6"/>
    <w:rsid w:val="00D06E56"/>
    <w:rsid w:val="00D12C81"/>
    <w:rsid w:val="00D13F28"/>
    <w:rsid w:val="00D140FC"/>
    <w:rsid w:val="00D20E83"/>
    <w:rsid w:val="00D23480"/>
    <w:rsid w:val="00D30829"/>
    <w:rsid w:val="00D33781"/>
    <w:rsid w:val="00D53626"/>
    <w:rsid w:val="00D57F1C"/>
    <w:rsid w:val="00D6142D"/>
    <w:rsid w:val="00D6486E"/>
    <w:rsid w:val="00D70D60"/>
    <w:rsid w:val="00D730A8"/>
    <w:rsid w:val="00D86E43"/>
    <w:rsid w:val="00D93E87"/>
    <w:rsid w:val="00D977DC"/>
    <w:rsid w:val="00DA6A1F"/>
    <w:rsid w:val="00DA6A66"/>
    <w:rsid w:val="00DB546E"/>
    <w:rsid w:val="00DC7BF2"/>
    <w:rsid w:val="00DD0B51"/>
    <w:rsid w:val="00DD182F"/>
    <w:rsid w:val="00DD5C7E"/>
    <w:rsid w:val="00DE6B34"/>
    <w:rsid w:val="00DF175D"/>
    <w:rsid w:val="00E06335"/>
    <w:rsid w:val="00E10AA2"/>
    <w:rsid w:val="00E11129"/>
    <w:rsid w:val="00E1259E"/>
    <w:rsid w:val="00E24697"/>
    <w:rsid w:val="00E32253"/>
    <w:rsid w:val="00E35F0F"/>
    <w:rsid w:val="00E41977"/>
    <w:rsid w:val="00E45057"/>
    <w:rsid w:val="00E53B9B"/>
    <w:rsid w:val="00E55119"/>
    <w:rsid w:val="00E55582"/>
    <w:rsid w:val="00E56818"/>
    <w:rsid w:val="00E5770D"/>
    <w:rsid w:val="00E62215"/>
    <w:rsid w:val="00E740FE"/>
    <w:rsid w:val="00E75EB1"/>
    <w:rsid w:val="00E76C45"/>
    <w:rsid w:val="00E8145F"/>
    <w:rsid w:val="00E82A86"/>
    <w:rsid w:val="00E87ABC"/>
    <w:rsid w:val="00E9064E"/>
    <w:rsid w:val="00E91170"/>
    <w:rsid w:val="00E96C85"/>
    <w:rsid w:val="00EB152E"/>
    <w:rsid w:val="00EB4D2E"/>
    <w:rsid w:val="00EB5909"/>
    <w:rsid w:val="00EB760A"/>
    <w:rsid w:val="00EC4F28"/>
    <w:rsid w:val="00ED1B15"/>
    <w:rsid w:val="00ED5380"/>
    <w:rsid w:val="00EE08E7"/>
    <w:rsid w:val="00EE3F92"/>
    <w:rsid w:val="00EE5029"/>
    <w:rsid w:val="00EF31F0"/>
    <w:rsid w:val="00EF4734"/>
    <w:rsid w:val="00EF675F"/>
    <w:rsid w:val="00EF7C35"/>
    <w:rsid w:val="00F020D4"/>
    <w:rsid w:val="00F04ACC"/>
    <w:rsid w:val="00F10655"/>
    <w:rsid w:val="00F1395E"/>
    <w:rsid w:val="00F13F31"/>
    <w:rsid w:val="00F44C4D"/>
    <w:rsid w:val="00F44E08"/>
    <w:rsid w:val="00F55B3B"/>
    <w:rsid w:val="00F65628"/>
    <w:rsid w:val="00F67AA3"/>
    <w:rsid w:val="00F84A80"/>
    <w:rsid w:val="00F92235"/>
    <w:rsid w:val="00F95711"/>
    <w:rsid w:val="00FA32D4"/>
    <w:rsid w:val="00FA5C1D"/>
    <w:rsid w:val="00FB2003"/>
    <w:rsid w:val="00FB2EB7"/>
    <w:rsid w:val="00FC0E0E"/>
    <w:rsid w:val="00FD036D"/>
    <w:rsid w:val="00FE56B1"/>
    <w:rsid w:val="00FF5DDC"/>
    <w:rsid w:val="00FF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181862-87A5-4F65-BBA0-9B959659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E56"/>
    <w:pPr>
      <w:spacing w:after="120"/>
      <w:jc w:val="both"/>
    </w:pPr>
    <w:rPr>
      <w:rFonts w:ascii="Verdana" w:hAnsi="Verdana" w:cs="Arial"/>
      <w:color w:val="000000"/>
      <w:sz w:val="22"/>
      <w:szCs w:val="24"/>
      <w:lang w:eastAsia="en-US"/>
    </w:rPr>
  </w:style>
  <w:style w:type="paragraph" w:styleId="Heading1">
    <w:name w:val="heading 1"/>
    <w:basedOn w:val="Normal"/>
    <w:next w:val="Normal"/>
    <w:qFormat/>
    <w:rsid w:val="00E32253"/>
    <w:pPr>
      <w:keepNext/>
      <w:keepLines/>
      <w:numPr>
        <w:numId w:val="1"/>
      </w:numPr>
      <w:spacing w:before="120"/>
      <w:jc w:val="left"/>
      <w:outlineLvl w:val="0"/>
    </w:pPr>
    <w:rPr>
      <w:rFonts w:ascii="Arial" w:hAnsi="Arial"/>
      <w:b/>
      <w:sz w:val="28"/>
    </w:rPr>
  </w:style>
  <w:style w:type="paragraph" w:styleId="Heading2">
    <w:name w:val="heading 2"/>
    <w:basedOn w:val="Normal"/>
    <w:next w:val="Normal"/>
    <w:link w:val="Heading2Char"/>
    <w:qFormat/>
    <w:rsid w:val="00E32253"/>
    <w:pPr>
      <w:keepNext/>
      <w:numPr>
        <w:ilvl w:val="1"/>
        <w:numId w:val="1"/>
      </w:numPr>
      <w:spacing w:before="120"/>
      <w:jc w:val="left"/>
      <w:outlineLvl w:val="1"/>
    </w:pPr>
    <w:rPr>
      <w:rFonts w:ascii="Arial" w:hAnsi="Arial"/>
      <w:b/>
    </w:rPr>
  </w:style>
  <w:style w:type="paragraph" w:styleId="Heading3">
    <w:name w:val="heading 3"/>
    <w:basedOn w:val="Heading2"/>
    <w:next w:val="Normal"/>
    <w:qFormat/>
    <w:rsid w:val="00E32253"/>
    <w:pPr>
      <w:keepNext w:val="0"/>
      <w:numPr>
        <w:ilvl w:val="2"/>
      </w:numPr>
      <w:spacing w:before="0"/>
      <w:jc w:val="both"/>
      <w:outlineLvl w:val="2"/>
    </w:pPr>
    <w:rPr>
      <w:b w:val="0"/>
    </w:rPr>
  </w:style>
  <w:style w:type="paragraph" w:styleId="Heading4">
    <w:name w:val="heading 4"/>
    <w:basedOn w:val="Heading3"/>
    <w:next w:val="Normal"/>
    <w:autoRedefine/>
    <w:qFormat/>
    <w:rsid w:val="00E32253"/>
    <w:pPr>
      <w:keepNext/>
      <w:numPr>
        <w:ilvl w:val="0"/>
        <w:numId w:val="27"/>
      </w:numPr>
      <w:outlineLvl w:val="3"/>
    </w:pPr>
    <w:rPr>
      <w:i/>
    </w:rPr>
  </w:style>
  <w:style w:type="paragraph" w:styleId="Heading5">
    <w:name w:val="heading 5"/>
    <w:basedOn w:val="Normal"/>
    <w:next w:val="Normal"/>
    <w:qFormat/>
    <w:rsid w:val="007F118A"/>
    <w:pPr>
      <w:spacing w:before="240" w:after="60"/>
      <w:outlineLvl w:val="4"/>
    </w:pPr>
  </w:style>
  <w:style w:type="paragraph" w:styleId="Heading6">
    <w:name w:val="heading 6"/>
    <w:next w:val="Normal"/>
    <w:qFormat/>
    <w:rsid w:val="007F118A"/>
    <w:pPr>
      <w:spacing w:after="60"/>
      <w:outlineLvl w:val="5"/>
    </w:pPr>
    <w:rPr>
      <w:rFonts w:ascii="Arial" w:hAnsi="Arial"/>
      <w:noProof/>
      <w:lang w:eastAsia="en-US"/>
    </w:rPr>
  </w:style>
  <w:style w:type="paragraph" w:styleId="Heading7">
    <w:name w:val="heading 7"/>
    <w:basedOn w:val="Normal"/>
    <w:next w:val="Normal"/>
    <w:qFormat/>
    <w:rsid w:val="005D24A9"/>
    <w:pPr>
      <w:outlineLvl w:val="6"/>
    </w:pPr>
    <w:rPr>
      <w:sz w:val="28"/>
      <w:szCs w:val="28"/>
    </w:rPr>
  </w:style>
  <w:style w:type="paragraph" w:styleId="Heading8">
    <w:name w:val="heading 8"/>
    <w:basedOn w:val="Heading2"/>
    <w:next w:val="Normal"/>
    <w:qFormat/>
    <w:rsid w:val="003E0974"/>
    <w:pPr>
      <w:numPr>
        <w:ilvl w:val="0"/>
        <w:numId w:val="0"/>
      </w:numPr>
      <w:spacing w:after="60"/>
      <w:outlineLvl w:val="7"/>
    </w:pPr>
  </w:style>
  <w:style w:type="paragraph" w:styleId="Heading9">
    <w:name w:val="heading 9"/>
    <w:basedOn w:val="Heading1"/>
    <w:next w:val="Heading8"/>
    <w:qFormat/>
    <w:rsid w:val="003E0974"/>
    <w:pPr>
      <w:numPr>
        <w:numId w:val="12"/>
      </w:numPr>
      <w:outlineLvl w:val="8"/>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TOC2"/>
    <w:next w:val="Normal"/>
    <w:autoRedefine/>
    <w:rsid w:val="00D730A8"/>
    <w:pPr>
      <w:ind w:left="1702"/>
    </w:pPr>
  </w:style>
  <w:style w:type="paragraph" w:styleId="TOC2">
    <w:name w:val="toc 2"/>
    <w:basedOn w:val="Normal"/>
    <w:next w:val="Normal"/>
    <w:uiPriority w:val="39"/>
    <w:rsid w:val="00D6142D"/>
    <w:pPr>
      <w:tabs>
        <w:tab w:val="left" w:pos="851"/>
        <w:tab w:val="right" w:leader="dot" w:pos="8505"/>
      </w:tabs>
      <w:spacing w:after="60"/>
      <w:ind w:left="851" w:hanging="851"/>
      <w:jc w:val="left"/>
    </w:pPr>
  </w:style>
  <w:style w:type="paragraph" w:styleId="TOC1">
    <w:name w:val="toc 1"/>
    <w:basedOn w:val="Normal"/>
    <w:next w:val="Normal"/>
    <w:uiPriority w:val="39"/>
    <w:rsid w:val="00D6142D"/>
    <w:pPr>
      <w:keepNext/>
      <w:keepLines/>
      <w:tabs>
        <w:tab w:val="left" w:pos="851"/>
        <w:tab w:val="right" w:leader="dot" w:pos="8505"/>
      </w:tabs>
      <w:spacing w:before="120"/>
      <w:ind w:left="851" w:hanging="851"/>
      <w:jc w:val="left"/>
    </w:pPr>
    <w:rPr>
      <w:b/>
    </w:rPr>
  </w:style>
  <w:style w:type="paragraph" w:styleId="Footer">
    <w:name w:val="footer"/>
    <w:basedOn w:val="Normal"/>
    <w:link w:val="FooterChar"/>
    <w:rsid w:val="00F44C4D"/>
    <w:rPr>
      <w:rFonts w:ascii="Arial" w:hAnsi="Arial" w:cs="Times New Roman"/>
      <w:sz w:val="18"/>
      <w:szCs w:val="18"/>
      <w:lang w:val="x-none"/>
    </w:rPr>
  </w:style>
  <w:style w:type="paragraph" w:styleId="Header">
    <w:name w:val="header"/>
    <w:basedOn w:val="Normal"/>
    <w:link w:val="HeaderChar"/>
    <w:rsid w:val="00F44C4D"/>
  </w:style>
  <w:style w:type="table" w:styleId="TableGrid">
    <w:name w:val="Table Grid"/>
    <w:basedOn w:val="TableNormal"/>
    <w:rsid w:val="000C5168"/>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8F58E5"/>
    <w:pPr>
      <w:spacing w:after="60"/>
      <w:ind w:left="2160" w:hanging="1152"/>
      <w:jc w:val="left"/>
    </w:pPr>
  </w:style>
  <w:style w:type="paragraph" w:styleId="Title">
    <w:name w:val="Title"/>
    <w:basedOn w:val="Normal"/>
    <w:qFormat/>
    <w:rsid w:val="008F58E5"/>
    <w:pPr>
      <w:spacing w:before="360" w:after="720" w:line="360" w:lineRule="auto"/>
      <w:jc w:val="center"/>
    </w:pPr>
    <w:rPr>
      <w:b/>
      <w:smallCaps/>
      <w:kern w:val="36"/>
      <w:sz w:val="36"/>
    </w:rPr>
  </w:style>
  <w:style w:type="paragraph" w:styleId="BalloonText">
    <w:name w:val="Balloon Text"/>
    <w:basedOn w:val="Normal"/>
    <w:semiHidden/>
    <w:rsid w:val="00B00FA8"/>
    <w:rPr>
      <w:rFonts w:ascii="Tahoma" w:hAnsi="Tahoma" w:cs="Tahoma"/>
      <w:sz w:val="16"/>
      <w:szCs w:val="16"/>
    </w:rPr>
  </w:style>
  <w:style w:type="paragraph" w:customStyle="1" w:styleId="Subtext">
    <w:name w:val="Subtext"/>
    <w:basedOn w:val="Normal"/>
    <w:next w:val="Normal"/>
    <w:rsid w:val="008F58E5"/>
    <w:pPr>
      <w:spacing w:before="60" w:after="60"/>
      <w:ind w:left="1440" w:hanging="432"/>
    </w:pPr>
  </w:style>
  <w:style w:type="paragraph" w:styleId="EndnoteText">
    <w:name w:val="endnote text"/>
    <w:basedOn w:val="Normal"/>
    <w:semiHidden/>
    <w:rsid w:val="00A07B70"/>
    <w:pPr>
      <w:tabs>
        <w:tab w:val="left" w:pos="567"/>
      </w:tabs>
      <w:ind w:left="567" w:hanging="567"/>
      <w:jc w:val="left"/>
    </w:pPr>
  </w:style>
  <w:style w:type="paragraph" w:styleId="Caption">
    <w:name w:val="caption"/>
    <w:basedOn w:val="Normal"/>
    <w:next w:val="Normal"/>
    <w:qFormat/>
    <w:rsid w:val="006732E6"/>
    <w:pPr>
      <w:keepNext/>
      <w:tabs>
        <w:tab w:val="left" w:pos="1134"/>
      </w:tabs>
      <w:spacing w:before="120"/>
      <w:ind w:left="1134" w:hanging="1134"/>
      <w:jc w:val="left"/>
    </w:pPr>
  </w:style>
  <w:style w:type="character" w:styleId="PageNumber">
    <w:name w:val="page number"/>
    <w:rsid w:val="00F44C4D"/>
    <w:rPr>
      <w:rFonts w:ascii="Arial" w:hAnsi="Arial"/>
      <w:sz w:val="24"/>
      <w:szCs w:val="24"/>
    </w:rPr>
  </w:style>
  <w:style w:type="paragraph" w:customStyle="1" w:styleId="Protocol1">
    <w:name w:val="Protocol 1"/>
    <w:basedOn w:val="Normal"/>
    <w:next w:val="Normal"/>
    <w:rsid w:val="005F1659"/>
    <w:pPr>
      <w:numPr>
        <w:numId w:val="10"/>
      </w:numPr>
      <w:spacing w:after="60"/>
      <w:jc w:val="left"/>
    </w:pPr>
  </w:style>
  <w:style w:type="paragraph" w:customStyle="1" w:styleId="Protocol2">
    <w:name w:val="Protocol 2"/>
    <w:basedOn w:val="Protocol1"/>
    <w:next w:val="Normal"/>
    <w:rsid w:val="007F118A"/>
    <w:pPr>
      <w:numPr>
        <w:numId w:val="6"/>
      </w:numPr>
      <w:tabs>
        <w:tab w:val="left" w:pos="284"/>
      </w:tabs>
    </w:pPr>
  </w:style>
  <w:style w:type="character" w:styleId="EndnoteReference">
    <w:name w:val="endnote reference"/>
    <w:semiHidden/>
    <w:rsid w:val="00A07B70"/>
    <w:rPr>
      <w:rFonts w:ascii="Arial" w:hAnsi="Arial"/>
      <w:sz w:val="24"/>
      <w:vertAlign w:val="superscript"/>
    </w:rPr>
  </w:style>
  <w:style w:type="paragraph" w:styleId="ListNumber2">
    <w:name w:val="List Number 2"/>
    <w:basedOn w:val="Heading2"/>
    <w:rsid w:val="008F58E5"/>
    <w:pPr>
      <w:ind w:left="566" w:hanging="283"/>
      <w:outlineLvl w:val="9"/>
    </w:pPr>
    <w:rPr>
      <w:b w:val="0"/>
    </w:rPr>
  </w:style>
  <w:style w:type="paragraph" w:styleId="TOC4">
    <w:name w:val="toc 4"/>
    <w:basedOn w:val="Normal"/>
    <w:next w:val="Normal"/>
    <w:semiHidden/>
    <w:rsid w:val="008F58E5"/>
    <w:pPr>
      <w:tabs>
        <w:tab w:val="right" w:leader="dot" w:pos="8309"/>
      </w:tabs>
      <w:ind w:left="1800"/>
      <w:jc w:val="left"/>
    </w:pPr>
  </w:style>
  <w:style w:type="paragraph" w:styleId="TOC5">
    <w:name w:val="toc 5"/>
    <w:basedOn w:val="Normal"/>
    <w:next w:val="Normal"/>
    <w:semiHidden/>
    <w:rsid w:val="008F58E5"/>
    <w:pPr>
      <w:tabs>
        <w:tab w:val="right" w:leader="dot" w:pos="8309"/>
      </w:tabs>
      <w:ind w:left="960"/>
    </w:pPr>
  </w:style>
  <w:style w:type="paragraph" w:styleId="TOC6">
    <w:name w:val="toc 6"/>
    <w:basedOn w:val="Normal"/>
    <w:next w:val="Normal"/>
    <w:semiHidden/>
    <w:rsid w:val="008F58E5"/>
    <w:pPr>
      <w:tabs>
        <w:tab w:val="right" w:leader="dot" w:pos="8309"/>
      </w:tabs>
      <w:ind w:left="1200"/>
    </w:pPr>
  </w:style>
  <w:style w:type="paragraph" w:styleId="TOC7">
    <w:name w:val="toc 7"/>
    <w:basedOn w:val="Normal"/>
    <w:next w:val="Normal"/>
    <w:semiHidden/>
    <w:rsid w:val="008F58E5"/>
    <w:pPr>
      <w:tabs>
        <w:tab w:val="right" w:leader="dot" w:pos="8309"/>
      </w:tabs>
      <w:ind w:left="1440"/>
    </w:pPr>
  </w:style>
  <w:style w:type="paragraph" w:styleId="TOC8">
    <w:name w:val="toc 8"/>
    <w:basedOn w:val="Normal"/>
    <w:next w:val="Normal"/>
    <w:semiHidden/>
    <w:rsid w:val="002E6E9F"/>
    <w:pPr>
      <w:tabs>
        <w:tab w:val="left" w:pos="1701"/>
        <w:tab w:val="right" w:leader="dot" w:pos="8505"/>
      </w:tabs>
      <w:ind w:left="1418"/>
      <w:jc w:val="left"/>
    </w:pPr>
  </w:style>
  <w:style w:type="paragraph" w:styleId="TOC9">
    <w:name w:val="toc 9"/>
    <w:basedOn w:val="TOC1"/>
    <w:next w:val="Normal"/>
    <w:rsid w:val="00DB546E"/>
    <w:pPr>
      <w:tabs>
        <w:tab w:val="left" w:pos="1701"/>
      </w:tabs>
      <w:ind w:left="1701" w:hanging="1701"/>
    </w:pPr>
  </w:style>
  <w:style w:type="paragraph" w:styleId="MessageHeader">
    <w:name w:val="Message Header"/>
    <w:basedOn w:val="Normal"/>
    <w:rsid w:val="008F58E5"/>
    <w:pPr>
      <w:ind w:left="1134" w:hanging="1134"/>
    </w:pPr>
  </w:style>
  <w:style w:type="paragraph" w:styleId="BodyTextIndent">
    <w:name w:val="Body Text Indent"/>
    <w:basedOn w:val="Normal"/>
    <w:link w:val="BodyTextIndentChar"/>
    <w:rsid w:val="008F58E5"/>
    <w:pPr>
      <w:ind w:left="283"/>
    </w:pPr>
  </w:style>
  <w:style w:type="paragraph" w:styleId="Subtitle">
    <w:name w:val="Subtitle"/>
    <w:basedOn w:val="Normal"/>
    <w:qFormat/>
    <w:rsid w:val="008F58E5"/>
    <w:pPr>
      <w:spacing w:after="60"/>
      <w:jc w:val="center"/>
    </w:pPr>
    <w:rPr>
      <w:i/>
    </w:rPr>
  </w:style>
  <w:style w:type="paragraph" w:styleId="DocumentMap">
    <w:name w:val="Document Map"/>
    <w:basedOn w:val="Normal"/>
    <w:semiHidden/>
    <w:rsid w:val="00F92235"/>
    <w:pPr>
      <w:shd w:val="clear" w:color="auto" w:fill="000080"/>
    </w:pPr>
    <w:rPr>
      <w:rFonts w:ascii="Tahoma" w:hAnsi="Tahoma" w:cs="Tahoma"/>
    </w:rPr>
  </w:style>
  <w:style w:type="paragraph" w:styleId="ListBullet">
    <w:name w:val="List Bullet"/>
    <w:basedOn w:val="Normal"/>
    <w:autoRedefine/>
    <w:rsid w:val="0029646C"/>
  </w:style>
  <w:style w:type="numbering" w:customStyle="1" w:styleId="StyleBulleted">
    <w:name w:val="Style Bulleted"/>
    <w:basedOn w:val="NoList"/>
    <w:rsid w:val="00390F7C"/>
    <w:pPr>
      <w:numPr>
        <w:numId w:val="7"/>
      </w:numPr>
    </w:pPr>
  </w:style>
  <w:style w:type="paragraph" w:styleId="FootnoteText">
    <w:name w:val="footnote text"/>
    <w:basedOn w:val="Normal"/>
    <w:semiHidden/>
    <w:rsid w:val="006261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567"/>
      <w:jc w:val="left"/>
    </w:pPr>
    <w:rPr>
      <w:sz w:val="20"/>
    </w:rPr>
  </w:style>
  <w:style w:type="character" w:styleId="FootnoteReference">
    <w:name w:val="footnote reference"/>
    <w:semiHidden/>
    <w:rsid w:val="00306631"/>
    <w:rPr>
      <w:vertAlign w:val="superscript"/>
    </w:rPr>
  </w:style>
  <w:style w:type="paragraph" w:styleId="TOCHeading">
    <w:name w:val="TOC Heading"/>
    <w:basedOn w:val="Heading1"/>
    <w:next w:val="Normal"/>
    <w:uiPriority w:val="39"/>
    <w:semiHidden/>
    <w:unhideWhenUsed/>
    <w:qFormat/>
    <w:rsid w:val="0001034B"/>
    <w:pPr>
      <w:numPr>
        <w:numId w:val="0"/>
      </w:numPr>
      <w:spacing w:before="480" w:after="0" w:line="276" w:lineRule="auto"/>
      <w:outlineLvl w:val="9"/>
    </w:pPr>
    <w:rPr>
      <w:rFonts w:ascii="Cambria" w:hAnsi="Cambria" w:cs="Times New Roman"/>
      <w:bCs/>
      <w:color w:val="365F91"/>
      <w:szCs w:val="28"/>
      <w:lang w:val="en-US" w:eastAsia="ja-JP"/>
    </w:rPr>
  </w:style>
  <w:style w:type="paragraph" w:customStyle="1" w:styleId="TableStyle1">
    <w:name w:val="TableStyle1"/>
    <w:basedOn w:val="Normal"/>
    <w:rsid w:val="00F92235"/>
    <w:pPr>
      <w:jc w:val="left"/>
    </w:pPr>
  </w:style>
  <w:style w:type="character" w:styleId="CommentReference">
    <w:name w:val="annotation reference"/>
    <w:semiHidden/>
    <w:rsid w:val="008F58E5"/>
    <w:rPr>
      <w:sz w:val="16"/>
    </w:rPr>
  </w:style>
  <w:style w:type="paragraph" w:styleId="CommentText">
    <w:name w:val="annotation text"/>
    <w:basedOn w:val="Normal"/>
    <w:link w:val="CommentTextChar"/>
    <w:semiHidden/>
    <w:rsid w:val="008F58E5"/>
    <w:rPr>
      <w:sz w:val="20"/>
    </w:rPr>
  </w:style>
  <w:style w:type="paragraph" w:styleId="BodyText">
    <w:name w:val="Body Text"/>
    <w:basedOn w:val="Normal"/>
    <w:rsid w:val="00D70D60"/>
    <w:pPr>
      <w:numPr>
        <w:numId w:val="8"/>
      </w:numPr>
    </w:pPr>
  </w:style>
  <w:style w:type="character" w:styleId="Hyperlink">
    <w:name w:val="Hyperlink"/>
    <w:uiPriority w:val="99"/>
    <w:unhideWhenUsed/>
    <w:rsid w:val="0001034B"/>
    <w:rPr>
      <w:color w:val="0000FF"/>
      <w:u w:val="single"/>
    </w:rPr>
  </w:style>
  <w:style w:type="character" w:customStyle="1" w:styleId="FooterChar">
    <w:name w:val="Footer Char"/>
    <w:link w:val="Footer"/>
    <w:rsid w:val="00753709"/>
    <w:rPr>
      <w:rFonts w:ascii="Arial" w:hAnsi="Arial" w:cs="Arial"/>
      <w:color w:val="000000"/>
      <w:sz w:val="18"/>
      <w:szCs w:val="18"/>
      <w:lang w:eastAsia="en-US"/>
    </w:rPr>
  </w:style>
  <w:style w:type="paragraph" w:styleId="NoSpacing">
    <w:name w:val="No Spacing"/>
    <w:link w:val="NoSpacingChar"/>
    <w:uiPriority w:val="1"/>
    <w:qFormat/>
    <w:rsid w:val="00A914C0"/>
    <w:rPr>
      <w:rFonts w:ascii="Calibri" w:hAnsi="Calibri"/>
      <w:sz w:val="22"/>
      <w:szCs w:val="22"/>
      <w:lang w:val="en-US" w:eastAsia="en-US"/>
    </w:rPr>
  </w:style>
  <w:style w:type="character" w:customStyle="1" w:styleId="NoSpacingChar">
    <w:name w:val="No Spacing Char"/>
    <w:link w:val="NoSpacing"/>
    <w:uiPriority w:val="1"/>
    <w:rsid w:val="00A914C0"/>
    <w:rPr>
      <w:rFonts w:ascii="Calibri" w:hAnsi="Calibri"/>
      <w:sz w:val="22"/>
      <w:szCs w:val="22"/>
      <w:lang w:val="en-US" w:eastAsia="en-US" w:bidi="ar-SA"/>
    </w:rPr>
  </w:style>
  <w:style w:type="character" w:customStyle="1" w:styleId="Heading2Char">
    <w:name w:val="Heading 2 Char"/>
    <w:link w:val="Heading2"/>
    <w:rsid w:val="00E32253"/>
    <w:rPr>
      <w:rFonts w:ascii="Arial" w:hAnsi="Arial" w:cs="Arial"/>
      <w:b/>
      <w:color w:val="000000"/>
      <w:sz w:val="22"/>
      <w:szCs w:val="24"/>
      <w:lang w:eastAsia="en-US"/>
    </w:rPr>
  </w:style>
  <w:style w:type="paragraph" w:styleId="CommentSubject">
    <w:name w:val="annotation subject"/>
    <w:basedOn w:val="CommentText"/>
    <w:next w:val="CommentText"/>
    <w:link w:val="CommentSubjectChar"/>
    <w:rsid w:val="00010C21"/>
    <w:rPr>
      <w:b/>
      <w:bCs/>
      <w:szCs w:val="20"/>
    </w:rPr>
  </w:style>
  <w:style w:type="character" w:customStyle="1" w:styleId="CommentTextChar">
    <w:name w:val="Comment Text Char"/>
    <w:link w:val="CommentText"/>
    <w:semiHidden/>
    <w:rsid w:val="00010C21"/>
    <w:rPr>
      <w:rFonts w:ascii="Verdana" w:hAnsi="Verdana" w:cs="Arial"/>
      <w:color w:val="000000"/>
      <w:szCs w:val="24"/>
      <w:lang w:eastAsia="en-US"/>
    </w:rPr>
  </w:style>
  <w:style w:type="character" w:customStyle="1" w:styleId="CommentSubjectChar">
    <w:name w:val="Comment Subject Char"/>
    <w:link w:val="CommentSubject"/>
    <w:rsid w:val="00010C21"/>
    <w:rPr>
      <w:rFonts w:ascii="Verdana" w:hAnsi="Verdana" w:cs="Arial"/>
      <w:b/>
      <w:bCs/>
      <w:color w:val="000000"/>
      <w:szCs w:val="24"/>
      <w:lang w:eastAsia="en-US"/>
    </w:rPr>
  </w:style>
  <w:style w:type="character" w:customStyle="1" w:styleId="HeaderChar">
    <w:name w:val="Header Char"/>
    <w:link w:val="Header"/>
    <w:rsid w:val="00DD182F"/>
    <w:rPr>
      <w:rFonts w:ascii="Verdana" w:hAnsi="Verdana" w:cs="Arial"/>
      <w:color w:val="000000"/>
      <w:sz w:val="22"/>
      <w:szCs w:val="24"/>
      <w:lang w:eastAsia="en-US"/>
    </w:rPr>
  </w:style>
  <w:style w:type="paragraph" w:customStyle="1" w:styleId="Default">
    <w:name w:val="Default"/>
    <w:rsid w:val="00E56818"/>
    <w:pPr>
      <w:autoSpaceDE w:val="0"/>
      <w:autoSpaceDN w:val="0"/>
      <w:adjustRightInd w:val="0"/>
    </w:pPr>
    <w:rPr>
      <w:rFonts w:ascii="Verdana" w:hAnsi="Verdana" w:cs="Verdana"/>
      <w:color w:val="000000"/>
      <w:sz w:val="24"/>
      <w:szCs w:val="24"/>
    </w:rPr>
  </w:style>
  <w:style w:type="paragraph" w:styleId="BodyText3">
    <w:name w:val="Body Text 3"/>
    <w:basedOn w:val="Normal"/>
    <w:link w:val="BodyText3Char"/>
    <w:rsid w:val="00E56818"/>
    <w:rPr>
      <w:sz w:val="16"/>
      <w:szCs w:val="16"/>
    </w:rPr>
  </w:style>
  <w:style w:type="character" w:customStyle="1" w:styleId="BodyText3Char">
    <w:name w:val="Body Text 3 Char"/>
    <w:basedOn w:val="DefaultParagraphFont"/>
    <w:link w:val="BodyText3"/>
    <w:rsid w:val="00E56818"/>
    <w:rPr>
      <w:rFonts w:ascii="Verdana" w:hAnsi="Verdana" w:cs="Arial"/>
      <w:color w:val="000000"/>
      <w:sz w:val="16"/>
      <w:szCs w:val="16"/>
      <w:lang w:eastAsia="en-US"/>
    </w:rPr>
  </w:style>
  <w:style w:type="paragraph" w:styleId="BodyText2">
    <w:name w:val="Body Text 2"/>
    <w:basedOn w:val="Normal"/>
    <w:link w:val="BodyText2Char"/>
    <w:rsid w:val="00E56818"/>
    <w:pPr>
      <w:widowControl w:val="0"/>
      <w:tabs>
        <w:tab w:val="left" w:pos="-720"/>
      </w:tabs>
      <w:suppressAutoHyphens/>
      <w:overflowPunct w:val="0"/>
      <w:autoSpaceDE w:val="0"/>
      <w:autoSpaceDN w:val="0"/>
      <w:adjustRightInd w:val="0"/>
      <w:spacing w:after="0"/>
      <w:textAlignment w:val="baseline"/>
    </w:pPr>
    <w:rPr>
      <w:rFonts w:ascii="Arial" w:hAnsi="Arial" w:cs="Times New Roman"/>
      <w:color w:val="FF0000"/>
      <w:spacing w:val="-3"/>
      <w:sz w:val="24"/>
      <w:szCs w:val="20"/>
    </w:rPr>
  </w:style>
  <w:style w:type="character" w:customStyle="1" w:styleId="BodyText2Char">
    <w:name w:val="Body Text 2 Char"/>
    <w:basedOn w:val="DefaultParagraphFont"/>
    <w:link w:val="BodyText2"/>
    <w:rsid w:val="00E56818"/>
    <w:rPr>
      <w:rFonts w:ascii="Arial" w:hAnsi="Arial"/>
      <w:color w:val="FF0000"/>
      <w:spacing w:val="-3"/>
      <w:sz w:val="24"/>
      <w:lang w:eastAsia="en-US"/>
    </w:rPr>
  </w:style>
  <w:style w:type="paragraph" w:styleId="BodyTextIndent2">
    <w:name w:val="Body Text Indent 2"/>
    <w:basedOn w:val="Normal"/>
    <w:link w:val="BodyTextIndent2Char"/>
    <w:rsid w:val="00E56818"/>
    <w:pPr>
      <w:spacing w:after="0"/>
      <w:ind w:left="720"/>
    </w:pPr>
    <w:rPr>
      <w:rFonts w:ascii="Times New Roman" w:hAnsi="Times New Roman" w:cs="Times New Roman"/>
      <w:color w:val="auto"/>
      <w:sz w:val="20"/>
      <w:szCs w:val="20"/>
    </w:rPr>
  </w:style>
  <w:style w:type="character" w:customStyle="1" w:styleId="BodyTextIndent2Char">
    <w:name w:val="Body Text Indent 2 Char"/>
    <w:basedOn w:val="DefaultParagraphFont"/>
    <w:link w:val="BodyTextIndent2"/>
    <w:rsid w:val="00E56818"/>
    <w:rPr>
      <w:lang w:eastAsia="en-US"/>
    </w:rPr>
  </w:style>
  <w:style w:type="paragraph" w:styleId="BodyTextIndent3">
    <w:name w:val="Body Text Indent 3"/>
    <w:basedOn w:val="Normal"/>
    <w:link w:val="BodyTextIndent3Char"/>
    <w:rsid w:val="00E56818"/>
    <w:pPr>
      <w:spacing w:after="0"/>
      <w:ind w:left="360"/>
    </w:pPr>
    <w:rPr>
      <w:rFonts w:ascii="Times New Roman" w:hAnsi="Times New Roman" w:cs="Times New Roman"/>
      <w:color w:val="auto"/>
      <w:sz w:val="20"/>
      <w:szCs w:val="20"/>
    </w:rPr>
  </w:style>
  <w:style w:type="character" w:customStyle="1" w:styleId="BodyTextIndent3Char">
    <w:name w:val="Body Text Indent 3 Char"/>
    <w:basedOn w:val="DefaultParagraphFont"/>
    <w:link w:val="BodyTextIndent3"/>
    <w:rsid w:val="00E56818"/>
    <w:rPr>
      <w:lang w:eastAsia="en-US"/>
    </w:rPr>
  </w:style>
  <w:style w:type="paragraph" w:styleId="E-mailSignature">
    <w:name w:val="E-mail Signature"/>
    <w:basedOn w:val="Normal"/>
    <w:link w:val="E-mailSignatureChar"/>
    <w:rsid w:val="00E56818"/>
    <w:pPr>
      <w:spacing w:after="0"/>
      <w:jc w:val="left"/>
    </w:pPr>
    <w:rPr>
      <w:rFonts w:ascii="Arial" w:hAnsi="Arial" w:cs="Times New Roman"/>
      <w:color w:val="auto"/>
      <w:sz w:val="20"/>
      <w:szCs w:val="20"/>
    </w:rPr>
  </w:style>
  <w:style w:type="character" w:customStyle="1" w:styleId="E-mailSignatureChar">
    <w:name w:val="E-mail Signature Char"/>
    <w:basedOn w:val="DefaultParagraphFont"/>
    <w:link w:val="E-mailSignature"/>
    <w:rsid w:val="00E56818"/>
    <w:rPr>
      <w:rFonts w:ascii="Arial" w:hAnsi="Arial"/>
      <w:lang w:eastAsia="en-US"/>
    </w:rPr>
  </w:style>
  <w:style w:type="character" w:customStyle="1" w:styleId="apple-style-span">
    <w:name w:val="apple-style-span"/>
    <w:rsid w:val="00E56818"/>
  </w:style>
  <w:style w:type="table" w:styleId="LightShading-Accent2">
    <w:name w:val="Light Shading Accent 2"/>
    <w:basedOn w:val="TableNormal"/>
    <w:uiPriority w:val="60"/>
    <w:rsid w:val="00E5681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eList7">
    <w:name w:val="Table List 7"/>
    <w:basedOn w:val="TableNormal"/>
    <w:rsid w:val="00E568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Classic2">
    <w:name w:val="Table Classic 2"/>
    <w:basedOn w:val="TableNormal"/>
    <w:rsid w:val="00E568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pple-converted-space">
    <w:name w:val="apple-converted-space"/>
    <w:rsid w:val="00E56818"/>
  </w:style>
  <w:style w:type="paragraph" w:styleId="PlainText">
    <w:name w:val="Plain Text"/>
    <w:basedOn w:val="Normal"/>
    <w:link w:val="PlainTextChar"/>
    <w:uiPriority w:val="99"/>
    <w:unhideWhenUsed/>
    <w:rsid w:val="00E56818"/>
    <w:pPr>
      <w:spacing w:after="0"/>
      <w:jc w:val="left"/>
    </w:pPr>
    <w:rPr>
      <w:rFonts w:ascii="Calibri" w:hAnsi="Calibri" w:cs="Times New Roman"/>
      <w:color w:val="auto"/>
      <w:szCs w:val="22"/>
    </w:rPr>
  </w:style>
  <w:style w:type="character" w:customStyle="1" w:styleId="PlainTextChar">
    <w:name w:val="Plain Text Char"/>
    <w:basedOn w:val="DefaultParagraphFont"/>
    <w:link w:val="PlainText"/>
    <w:uiPriority w:val="99"/>
    <w:rsid w:val="00E56818"/>
    <w:rPr>
      <w:rFonts w:ascii="Calibri" w:hAnsi="Calibri"/>
      <w:sz w:val="22"/>
      <w:szCs w:val="22"/>
      <w:lang w:eastAsia="en-US"/>
    </w:rPr>
  </w:style>
  <w:style w:type="paragraph" w:styleId="NormalWeb">
    <w:name w:val="Normal (Web)"/>
    <w:basedOn w:val="Normal"/>
    <w:uiPriority w:val="99"/>
    <w:unhideWhenUsed/>
    <w:rsid w:val="00E56818"/>
    <w:pPr>
      <w:spacing w:before="100" w:beforeAutospacing="1" w:after="100" w:afterAutospacing="1"/>
      <w:jc w:val="left"/>
    </w:pPr>
    <w:rPr>
      <w:rFonts w:ascii="Times New Roman" w:hAnsi="Times New Roman" w:cs="Times New Roman"/>
      <w:color w:val="auto"/>
      <w:sz w:val="24"/>
      <w:lang w:eastAsia="en-GB"/>
    </w:rPr>
  </w:style>
  <w:style w:type="table" w:styleId="LightList-Accent2">
    <w:name w:val="Light List Accent 2"/>
    <w:basedOn w:val="TableNormal"/>
    <w:uiPriority w:val="61"/>
    <w:rsid w:val="00E5681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List8">
    <w:name w:val="Table List 8"/>
    <w:basedOn w:val="TableNormal"/>
    <w:rsid w:val="00E568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8">
    <w:name w:val="Table Grid 8"/>
    <w:basedOn w:val="TableNormal"/>
    <w:rsid w:val="00E568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E56818"/>
    <w:pPr>
      <w:tabs>
        <w:tab w:val="left" w:pos="-720"/>
      </w:tabs>
      <w:suppressAutoHyphens/>
      <w:spacing w:after="0"/>
      <w:ind w:left="720"/>
      <w:contextualSpacing/>
      <w:jc w:val="center"/>
    </w:pPr>
    <w:rPr>
      <w:rFonts w:ascii="Arial" w:hAnsi="Arial"/>
      <w:b/>
      <w:color w:val="auto"/>
      <w:spacing w:val="-3"/>
      <w:sz w:val="24"/>
    </w:rPr>
  </w:style>
  <w:style w:type="table" w:styleId="LightShading-Accent3">
    <w:name w:val="Light Shading Accent 3"/>
    <w:basedOn w:val="TableNormal"/>
    <w:uiPriority w:val="60"/>
    <w:rsid w:val="00E56818"/>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BodyTextIndentChar">
    <w:name w:val="Body Text Indent Char"/>
    <w:link w:val="BodyTextIndent"/>
    <w:rsid w:val="00E56818"/>
    <w:rPr>
      <w:rFonts w:ascii="Verdana" w:hAnsi="Verdana" w:cs="Arial"/>
      <w:color w:val="000000"/>
      <w:sz w:val="22"/>
      <w:szCs w:val="24"/>
      <w:lang w:eastAsia="en-US"/>
    </w:rPr>
  </w:style>
  <w:style w:type="character" w:styleId="Emphasis">
    <w:name w:val="Emphasis"/>
    <w:uiPriority w:val="20"/>
    <w:qFormat/>
    <w:rsid w:val="00E56818"/>
    <w:rPr>
      <w:i/>
      <w:iCs/>
    </w:rPr>
  </w:style>
  <w:style w:type="table" w:styleId="LightShading-Accent5">
    <w:name w:val="Light Shading Accent 5"/>
    <w:basedOn w:val="TableNormal"/>
    <w:uiPriority w:val="60"/>
    <w:rsid w:val="00E5681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rsid w:val="00E56818"/>
    <w:rPr>
      <w:color w:val="800080"/>
      <w:u w:val="single"/>
    </w:rPr>
  </w:style>
  <w:style w:type="table" w:styleId="GridTable2-Accent3">
    <w:name w:val="Grid Table 2 Accent 3"/>
    <w:basedOn w:val="TableNormal"/>
    <w:uiPriority w:val="47"/>
    <w:rsid w:val="00E56818"/>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6Colorful-Accent1">
    <w:name w:val="Grid Table 6 Colorful Accent 1"/>
    <w:basedOn w:val="TableNormal"/>
    <w:uiPriority w:val="51"/>
    <w:rsid w:val="00E56818"/>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6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lea@nhs.net" TargetMode="External"/><Relationship Id="rId18" Type="http://schemas.openxmlformats.org/officeDocument/2006/relationships/hyperlink" Target="https://southeastgenomics.nhs.uk/glh/cancer-tests/haemato-oncology/" TargetMode="External"/><Relationship Id="rId26" Type="http://schemas.openxmlformats.org/officeDocument/2006/relationships/hyperlink" Target="https://www.nwlpathology.nhs.uk/tests-database/bcr-abl1/" TargetMode="External"/><Relationship Id="rId3" Type="http://schemas.openxmlformats.org/officeDocument/2006/relationships/customXml" Target="../customXml/item3.xml"/><Relationship Id="rId21" Type="http://schemas.openxmlformats.org/officeDocument/2006/relationships/hyperlink" Target="https://www.salisbury.nhs.uk/wards-departments/departments/genetic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kch-tr.LMH@nhs.net" TargetMode="External"/><Relationship Id="rId17" Type="http://schemas.openxmlformats.org/officeDocument/2006/relationships/hyperlink" Target="http://www.synnovis.co.uk/departments-and-laboratories/hmdc-molecular-haemato-oncology-laboratory-kings" TargetMode="External"/><Relationship Id="rId25" Type="http://schemas.openxmlformats.org/officeDocument/2006/relationships/hyperlink" Target="http://www.viapath.co.uk/departments-and-laboratories/molecular-oncology-unit-at-guy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anya.scott@nhs.net" TargetMode="External"/><Relationship Id="rId20" Type="http://schemas.openxmlformats.org/officeDocument/2006/relationships/hyperlink" Target="http://www.royalmail.com/sites/default/files/Guidance-Document-Infectious-Substances-171012.pdf" TargetMode="External"/><Relationship Id="rId29" Type="http://schemas.openxmlformats.org/officeDocument/2006/relationships/hyperlink" Target="http://www.synnovis.co.uk/sites/default/files/upload/SNP%20Operational%20Processes%20Ed%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as.com/wp-content/uploads/schedule_uploads/00007/9597-Medical-Single.pdf" TargetMode="External"/><Relationship Id="rId24" Type="http://schemas.openxmlformats.org/officeDocument/2006/relationships/hyperlink" Target="https://search.ukas.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hireen.kassam@nhs.net" TargetMode="External"/><Relationship Id="rId23" Type="http://schemas.openxmlformats.org/officeDocument/2006/relationships/hyperlink" Target="http://www.viapath.co.uk/departments-and-laboratories/molecular-oncology-unit-at-guys" TargetMode="External"/><Relationship Id="rId28" Type="http://schemas.openxmlformats.org/officeDocument/2006/relationships/hyperlink" Target="http://www.synnovis.co.uk/departments-and-laboratories/haematological-malignancy-diagnostic-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iapath.co.uk/departments-and-laboratories/haematological-malignancy-diagnostic-centr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borah.yallop@nhs.net" TargetMode="External"/><Relationship Id="rId22" Type="http://schemas.openxmlformats.org/officeDocument/2006/relationships/hyperlink" Target="https://www.salisbury.nhs.uk/wards-departments/departments/genetics/" TargetMode="External"/><Relationship Id="rId27" Type="http://schemas.openxmlformats.org/officeDocument/2006/relationships/image" Target="media/image1.png"/><Relationship Id="rId30" Type="http://schemas.openxmlformats.org/officeDocument/2006/relationships/header" Target="header1.xm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kinner\Local%20Settings\Temp\6e4c4a05-7fbc-4d4b-8811-df389a08daa5\GSTS-Dot-LongDo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AEB5F479F9474A8D913CCE6146EECB" ma:contentTypeVersion="14" ma:contentTypeDescription="Create a new document." ma:contentTypeScope="" ma:versionID="d9c7ebac4ab97ed873c79fe4835f43dd">
  <xsd:schema xmlns:xsd="http://www.w3.org/2001/XMLSchema" xmlns:xs="http://www.w3.org/2001/XMLSchema" xmlns:p="http://schemas.microsoft.com/office/2006/metadata/properties" xmlns:ns3="a984e588-39f7-4a10-aac8-fe09c01b1bba" xmlns:ns4="7bbcee75-a3fb-41dc-8848-6543bb1e168b" targetNamespace="http://schemas.microsoft.com/office/2006/metadata/properties" ma:root="true" ma:fieldsID="d3544ff96a36ef0e5236d0f8756c2378" ns3:_="" ns4:_="">
    <xsd:import namespace="a984e588-39f7-4a10-aac8-fe09c01b1bba"/>
    <xsd:import namespace="7bbcee75-a3fb-41dc-8848-6543bb1e16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4e588-39f7-4a10-aac8-fe09c01b1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cee75-a3fb-41dc-8848-6543bb1e16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DE6767F-E992-4BC1-82FA-779C6376F0F0}">
  <ds:schemaRefs>
    <ds:schemaRef ds:uri="http://schemas.microsoft.com/sharepoint/v3/contenttype/forms"/>
  </ds:schemaRefs>
</ds:datastoreItem>
</file>

<file path=customXml/itemProps2.xml><?xml version="1.0" encoding="utf-8"?>
<ds:datastoreItem xmlns:ds="http://schemas.openxmlformats.org/officeDocument/2006/customXml" ds:itemID="{ED1E0004-CFB0-4245-94EE-70049567BF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14C768-AD5E-45B0-A0CC-9D66CD5E3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4e588-39f7-4a10-aac8-fe09c01b1bba"/>
    <ds:schemaRef ds:uri="7bbcee75-a3fb-41dc-8848-6543bb1e1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03DB3-D15B-4474-903E-2B03B487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GSTS-Dot-LongDocs</Template>
  <TotalTime>0</TotalTime>
  <Pages>26</Pages>
  <Words>9994</Words>
  <Characters>56967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Enter in 'Summary'/'Title:'</vt:lpstr>
    </vt:vector>
  </TitlesOfParts>
  <Company>Viapath</Company>
  <LinksUpToDate>false</LinksUpToDate>
  <CharactersWithSpaces>66828</CharactersWithSpaces>
  <SharedDoc>false</SharedDoc>
  <HyperlinkBase> </HyperlinkBase>
  <HLinks>
    <vt:vector size="258" baseType="variant">
      <vt:variant>
        <vt:i4>2031671</vt:i4>
      </vt:variant>
      <vt:variant>
        <vt:i4>254</vt:i4>
      </vt:variant>
      <vt:variant>
        <vt:i4>0</vt:i4>
      </vt:variant>
      <vt:variant>
        <vt:i4>5</vt:i4>
      </vt:variant>
      <vt:variant>
        <vt:lpwstr/>
      </vt:variant>
      <vt:variant>
        <vt:lpwstr>_Toc107923321</vt:lpwstr>
      </vt:variant>
      <vt:variant>
        <vt:i4>2031671</vt:i4>
      </vt:variant>
      <vt:variant>
        <vt:i4>248</vt:i4>
      </vt:variant>
      <vt:variant>
        <vt:i4>0</vt:i4>
      </vt:variant>
      <vt:variant>
        <vt:i4>5</vt:i4>
      </vt:variant>
      <vt:variant>
        <vt:lpwstr/>
      </vt:variant>
      <vt:variant>
        <vt:lpwstr>_Toc107923320</vt:lpwstr>
      </vt:variant>
      <vt:variant>
        <vt:i4>1835063</vt:i4>
      </vt:variant>
      <vt:variant>
        <vt:i4>242</vt:i4>
      </vt:variant>
      <vt:variant>
        <vt:i4>0</vt:i4>
      </vt:variant>
      <vt:variant>
        <vt:i4>5</vt:i4>
      </vt:variant>
      <vt:variant>
        <vt:lpwstr/>
      </vt:variant>
      <vt:variant>
        <vt:lpwstr>_Toc107923319</vt:lpwstr>
      </vt:variant>
      <vt:variant>
        <vt:i4>1835063</vt:i4>
      </vt:variant>
      <vt:variant>
        <vt:i4>236</vt:i4>
      </vt:variant>
      <vt:variant>
        <vt:i4>0</vt:i4>
      </vt:variant>
      <vt:variant>
        <vt:i4>5</vt:i4>
      </vt:variant>
      <vt:variant>
        <vt:lpwstr/>
      </vt:variant>
      <vt:variant>
        <vt:lpwstr>_Toc107923318</vt:lpwstr>
      </vt:variant>
      <vt:variant>
        <vt:i4>1835063</vt:i4>
      </vt:variant>
      <vt:variant>
        <vt:i4>230</vt:i4>
      </vt:variant>
      <vt:variant>
        <vt:i4>0</vt:i4>
      </vt:variant>
      <vt:variant>
        <vt:i4>5</vt:i4>
      </vt:variant>
      <vt:variant>
        <vt:lpwstr/>
      </vt:variant>
      <vt:variant>
        <vt:lpwstr>_Toc107923317</vt:lpwstr>
      </vt:variant>
      <vt:variant>
        <vt:i4>1835063</vt:i4>
      </vt:variant>
      <vt:variant>
        <vt:i4>224</vt:i4>
      </vt:variant>
      <vt:variant>
        <vt:i4>0</vt:i4>
      </vt:variant>
      <vt:variant>
        <vt:i4>5</vt:i4>
      </vt:variant>
      <vt:variant>
        <vt:lpwstr/>
      </vt:variant>
      <vt:variant>
        <vt:lpwstr>_Toc107923316</vt:lpwstr>
      </vt:variant>
      <vt:variant>
        <vt:i4>1835063</vt:i4>
      </vt:variant>
      <vt:variant>
        <vt:i4>218</vt:i4>
      </vt:variant>
      <vt:variant>
        <vt:i4>0</vt:i4>
      </vt:variant>
      <vt:variant>
        <vt:i4>5</vt:i4>
      </vt:variant>
      <vt:variant>
        <vt:lpwstr/>
      </vt:variant>
      <vt:variant>
        <vt:lpwstr>_Toc107923315</vt:lpwstr>
      </vt:variant>
      <vt:variant>
        <vt:i4>1835063</vt:i4>
      </vt:variant>
      <vt:variant>
        <vt:i4>212</vt:i4>
      </vt:variant>
      <vt:variant>
        <vt:i4>0</vt:i4>
      </vt:variant>
      <vt:variant>
        <vt:i4>5</vt:i4>
      </vt:variant>
      <vt:variant>
        <vt:lpwstr/>
      </vt:variant>
      <vt:variant>
        <vt:lpwstr>_Toc107923314</vt:lpwstr>
      </vt:variant>
      <vt:variant>
        <vt:i4>1835063</vt:i4>
      </vt:variant>
      <vt:variant>
        <vt:i4>206</vt:i4>
      </vt:variant>
      <vt:variant>
        <vt:i4>0</vt:i4>
      </vt:variant>
      <vt:variant>
        <vt:i4>5</vt:i4>
      </vt:variant>
      <vt:variant>
        <vt:lpwstr/>
      </vt:variant>
      <vt:variant>
        <vt:lpwstr>_Toc107923313</vt:lpwstr>
      </vt:variant>
      <vt:variant>
        <vt:i4>1835063</vt:i4>
      </vt:variant>
      <vt:variant>
        <vt:i4>200</vt:i4>
      </vt:variant>
      <vt:variant>
        <vt:i4>0</vt:i4>
      </vt:variant>
      <vt:variant>
        <vt:i4>5</vt:i4>
      </vt:variant>
      <vt:variant>
        <vt:lpwstr/>
      </vt:variant>
      <vt:variant>
        <vt:lpwstr>_Toc107923312</vt:lpwstr>
      </vt:variant>
      <vt:variant>
        <vt:i4>1835063</vt:i4>
      </vt:variant>
      <vt:variant>
        <vt:i4>194</vt:i4>
      </vt:variant>
      <vt:variant>
        <vt:i4>0</vt:i4>
      </vt:variant>
      <vt:variant>
        <vt:i4>5</vt:i4>
      </vt:variant>
      <vt:variant>
        <vt:lpwstr/>
      </vt:variant>
      <vt:variant>
        <vt:lpwstr>_Toc107923311</vt:lpwstr>
      </vt:variant>
      <vt:variant>
        <vt:i4>1835063</vt:i4>
      </vt:variant>
      <vt:variant>
        <vt:i4>188</vt:i4>
      </vt:variant>
      <vt:variant>
        <vt:i4>0</vt:i4>
      </vt:variant>
      <vt:variant>
        <vt:i4>5</vt:i4>
      </vt:variant>
      <vt:variant>
        <vt:lpwstr/>
      </vt:variant>
      <vt:variant>
        <vt:lpwstr>_Toc107923310</vt:lpwstr>
      </vt:variant>
      <vt:variant>
        <vt:i4>1900599</vt:i4>
      </vt:variant>
      <vt:variant>
        <vt:i4>182</vt:i4>
      </vt:variant>
      <vt:variant>
        <vt:i4>0</vt:i4>
      </vt:variant>
      <vt:variant>
        <vt:i4>5</vt:i4>
      </vt:variant>
      <vt:variant>
        <vt:lpwstr/>
      </vt:variant>
      <vt:variant>
        <vt:lpwstr>_Toc107923309</vt:lpwstr>
      </vt:variant>
      <vt:variant>
        <vt:i4>1900599</vt:i4>
      </vt:variant>
      <vt:variant>
        <vt:i4>176</vt:i4>
      </vt:variant>
      <vt:variant>
        <vt:i4>0</vt:i4>
      </vt:variant>
      <vt:variant>
        <vt:i4>5</vt:i4>
      </vt:variant>
      <vt:variant>
        <vt:lpwstr/>
      </vt:variant>
      <vt:variant>
        <vt:lpwstr>_Toc107923308</vt:lpwstr>
      </vt:variant>
      <vt:variant>
        <vt:i4>1900599</vt:i4>
      </vt:variant>
      <vt:variant>
        <vt:i4>170</vt:i4>
      </vt:variant>
      <vt:variant>
        <vt:i4>0</vt:i4>
      </vt:variant>
      <vt:variant>
        <vt:i4>5</vt:i4>
      </vt:variant>
      <vt:variant>
        <vt:lpwstr/>
      </vt:variant>
      <vt:variant>
        <vt:lpwstr>_Toc107923307</vt:lpwstr>
      </vt:variant>
      <vt:variant>
        <vt:i4>1900599</vt:i4>
      </vt:variant>
      <vt:variant>
        <vt:i4>164</vt:i4>
      </vt:variant>
      <vt:variant>
        <vt:i4>0</vt:i4>
      </vt:variant>
      <vt:variant>
        <vt:i4>5</vt:i4>
      </vt:variant>
      <vt:variant>
        <vt:lpwstr/>
      </vt:variant>
      <vt:variant>
        <vt:lpwstr>_Toc107923306</vt:lpwstr>
      </vt:variant>
      <vt:variant>
        <vt:i4>1900599</vt:i4>
      </vt:variant>
      <vt:variant>
        <vt:i4>158</vt:i4>
      </vt:variant>
      <vt:variant>
        <vt:i4>0</vt:i4>
      </vt:variant>
      <vt:variant>
        <vt:i4>5</vt:i4>
      </vt:variant>
      <vt:variant>
        <vt:lpwstr/>
      </vt:variant>
      <vt:variant>
        <vt:lpwstr>_Toc107923305</vt:lpwstr>
      </vt:variant>
      <vt:variant>
        <vt:i4>1900599</vt:i4>
      </vt:variant>
      <vt:variant>
        <vt:i4>152</vt:i4>
      </vt:variant>
      <vt:variant>
        <vt:i4>0</vt:i4>
      </vt:variant>
      <vt:variant>
        <vt:i4>5</vt:i4>
      </vt:variant>
      <vt:variant>
        <vt:lpwstr/>
      </vt:variant>
      <vt:variant>
        <vt:lpwstr>_Toc107923304</vt:lpwstr>
      </vt:variant>
      <vt:variant>
        <vt:i4>1900599</vt:i4>
      </vt:variant>
      <vt:variant>
        <vt:i4>146</vt:i4>
      </vt:variant>
      <vt:variant>
        <vt:i4>0</vt:i4>
      </vt:variant>
      <vt:variant>
        <vt:i4>5</vt:i4>
      </vt:variant>
      <vt:variant>
        <vt:lpwstr/>
      </vt:variant>
      <vt:variant>
        <vt:lpwstr>_Toc107923303</vt:lpwstr>
      </vt:variant>
      <vt:variant>
        <vt:i4>1900599</vt:i4>
      </vt:variant>
      <vt:variant>
        <vt:i4>140</vt:i4>
      </vt:variant>
      <vt:variant>
        <vt:i4>0</vt:i4>
      </vt:variant>
      <vt:variant>
        <vt:i4>5</vt:i4>
      </vt:variant>
      <vt:variant>
        <vt:lpwstr/>
      </vt:variant>
      <vt:variant>
        <vt:lpwstr>_Toc107923302</vt:lpwstr>
      </vt:variant>
      <vt:variant>
        <vt:i4>1900599</vt:i4>
      </vt:variant>
      <vt:variant>
        <vt:i4>134</vt:i4>
      </vt:variant>
      <vt:variant>
        <vt:i4>0</vt:i4>
      </vt:variant>
      <vt:variant>
        <vt:i4>5</vt:i4>
      </vt:variant>
      <vt:variant>
        <vt:lpwstr/>
      </vt:variant>
      <vt:variant>
        <vt:lpwstr>_Toc107923301</vt:lpwstr>
      </vt:variant>
      <vt:variant>
        <vt:i4>1900599</vt:i4>
      </vt:variant>
      <vt:variant>
        <vt:i4>128</vt:i4>
      </vt:variant>
      <vt:variant>
        <vt:i4>0</vt:i4>
      </vt:variant>
      <vt:variant>
        <vt:i4>5</vt:i4>
      </vt:variant>
      <vt:variant>
        <vt:lpwstr/>
      </vt:variant>
      <vt:variant>
        <vt:lpwstr>_Toc107923300</vt:lpwstr>
      </vt:variant>
      <vt:variant>
        <vt:i4>1310774</vt:i4>
      </vt:variant>
      <vt:variant>
        <vt:i4>122</vt:i4>
      </vt:variant>
      <vt:variant>
        <vt:i4>0</vt:i4>
      </vt:variant>
      <vt:variant>
        <vt:i4>5</vt:i4>
      </vt:variant>
      <vt:variant>
        <vt:lpwstr/>
      </vt:variant>
      <vt:variant>
        <vt:lpwstr>_Toc107923299</vt:lpwstr>
      </vt:variant>
      <vt:variant>
        <vt:i4>1310774</vt:i4>
      </vt:variant>
      <vt:variant>
        <vt:i4>116</vt:i4>
      </vt:variant>
      <vt:variant>
        <vt:i4>0</vt:i4>
      </vt:variant>
      <vt:variant>
        <vt:i4>5</vt:i4>
      </vt:variant>
      <vt:variant>
        <vt:lpwstr/>
      </vt:variant>
      <vt:variant>
        <vt:lpwstr>_Toc107923298</vt:lpwstr>
      </vt:variant>
      <vt:variant>
        <vt:i4>1310774</vt:i4>
      </vt:variant>
      <vt:variant>
        <vt:i4>110</vt:i4>
      </vt:variant>
      <vt:variant>
        <vt:i4>0</vt:i4>
      </vt:variant>
      <vt:variant>
        <vt:i4>5</vt:i4>
      </vt:variant>
      <vt:variant>
        <vt:lpwstr/>
      </vt:variant>
      <vt:variant>
        <vt:lpwstr>_Toc107923297</vt:lpwstr>
      </vt:variant>
      <vt:variant>
        <vt:i4>1310774</vt:i4>
      </vt:variant>
      <vt:variant>
        <vt:i4>104</vt:i4>
      </vt:variant>
      <vt:variant>
        <vt:i4>0</vt:i4>
      </vt:variant>
      <vt:variant>
        <vt:i4>5</vt:i4>
      </vt:variant>
      <vt:variant>
        <vt:lpwstr/>
      </vt:variant>
      <vt:variant>
        <vt:lpwstr>_Toc107923296</vt:lpwstr>
      </vt:variant>
      <vt:variant>
        <vt:i4>1310774</vt:i4>
      </vt:variant>
      <vt:variant>
        <vt:i4>98</vt:i4>
      </vt:variant>
      <vt:variant>
        <vt:i4>0</vt:i4>
      </vt:variant>
      <vt:variant>
        <vt:i4>5</vt:i4>
      </vt:variant>
      <vt:variant>
        <vt:lpwstr/>
      </vt:variant>
      <vt:variant>
        <vt:lpwstr>_Toc107923295</vt:lpwstr>
      </vt:variant>
      <vt:variant>
        <vt:i4>1310774</vt:i4>
      </vt:variant>
      <vt:variant>
        <vt:i4>92</vt:i4>
      </vt:variant>
      <vt:variant>
        <vt:i4>0</vt:i4>
      </vt:variant>
      <vt:variant>
        <vt:i4>5</vt:i4>
      </vt:variant>
      <vt:variant>
        <vt:lpwstr/>
      </vt:variant>
      <vt:variant>
        <vt:lpwstr>_Toc107923294</vt:lpwstr>
      </vt:variant>
      <vt:variant>
        <vt:i4>1310774</vt:i4>
      </vt:variant>
      <vt:variant>
        <vt:i4>86</vt:i4>
      </vt:variant>
      <vt:variant>
        <vt:i4>0</vt:i4>
      </vt:variant>
      <vt:variant>
        <vt:i4>5</vt:i4>
      </vt:variant>
      <vt:variant>
        <vt:lpwstr/>
      </vt:variant>
      <vt:variant>
        <vt:lpwstr>_Toc107923293</vt:lpwstr>
      </vt:variant>
      <vt:variant>
        <vt:i4>1310774</vt:i4>
      </vt:variant>
      <vt:variant>
        <vt:i4>80</vt:i4>
      </vt:variant>
      <vt:variant>
        <vt:i4>0</vt:i4>
      </vt:variant>
      <vt:variant>
        <vt:i4>5</vt:i4>
      </vt:variant>
      <vt:variant>
        <vt:lpwstr/>
      </vt:variant>
      <vt:variant>
        <vt:lpwstr>_Toc107923292</vt:lpwstr>
      </vt:variant>
      <vt:variant>
        <vt:i4>1310774</vt:i4>
      </vt:variant>
      <vt:variant>
        <vt:i4>74</vt:i4>
      </vt:variant>
      <vt:variant>
        <vt:i4>0</vt:i4>
      </vt:variant>
      <vt:variant>
        <vt:i4>5</vt:i4>
      </vt:variant>
      <vt:variant>
        <vt:lpwstr/>
      </vt:variant>
      <vt:variant>
        <vt:lpwstr>_Toc107923291</vt:lpwstr>
      </vt:variant>
      <vt:variant>
        <vt:i4>1310774</vt:i4>
      </vt:variant>
      <vt:variant>
        <vt:i4>68</vt:i4>
      </vt:variant>
      <vt:variant>
        <vt:i4>0</vt:i4>
      </vt:variant>
      <vt:variant>
        <vt:i4>5</vt:i4>
      </vt:variant>
      <vt:variant>
        <vt:lpwstr/>
      </vt:variant>
      <vt:variant>
        <vt:lpwstr>_Toc107923290</vt:lpwstr>
      </vt:variant>
      <vt:variant>
        <vt:i4>1376310</vt:i4>
      </vt:variant>
      <vt:variant>
        <vt:i4>62</vt:i4>
      </vt:variant>
      <vt:variant>
        <vt:i4>0</vt:i4>
      </vt:variant>
      <vt:variant>
        <vt:i4>5</vt:i4>
      </vt:variant>
      <vt:variant>
        <vt:lpwstr/>
      </vt:variant>
      <vt:variant>
        <vt:lpwstr>_Toc107923289</vt:lpwstr>
      </vt:variant>
      <vt:variant>
        <vt:i4>1376310</vt:i4>
      </vt:variant>
      <vt:variant>
        <vt:i4>56</vt:i4>
      </vt:variant>
      <vt:variant>
        <vt:i4>0</vt:i4>
      </vt:variant>
      <vt:variant>
        <vt:i4>5</vt:i4>
      </vt:variant>
      <vt:variant>
        <vt:lpwstr/>
      </vt:variant>
      <vt:variant>
        <vt:lpwstr>_Toc107923288</vt:lpwstr>
      </vt:variant>
      <vt:variant>
        <vt:i4>1376310</vt:i4>
      </vt:variant>
      <vt:variant>
        <vt:i4>50</vt:i4>
      </vt:variant>
      <vt:variant>
        <vt:i4>0</vt:i4>
      </vt:variant>
      <vt:variant>
        <vt:i4>5</vt:i4>
      </vt:variant>
      <vt:variant>
        <vt:lpwstr/>
      </vt:variant>
      <vt:variant>
        <vt:lpwstr>_Toc107923287</vt:lpwstr>
      </vt:variant>
      <vt:variant>
        <vt:i4>1376310</vt:i4>
      </vt:variant>
      <vt:variant>
        <vt:i4>44</vt:i4>
      </vt:variant>
      <vt:variant>
        <vt:i4>0</vt:i4>
      </vt:variant>
      <vt:variant>
        <vt:i4>5</vt:i4>
      </vt:variant>
      <vt:variant>
        <vt:lpwstr/>
      </vt:variant>
      <vt:variant>
        <vt:lpwstr>_Toc107923286</vt:lpwstr>
      </vt:variant>
      <vt:variant>
        <vt:i4>1376310</vt:i4>
      </vt:variant>
      <vt:variant>
        <vt:i4>38</vt:i4>
      </vt:variant>
      <vt:variant>
        <vt:i4>0</vt:i4>
      </vt:variant>
      <vt:variant>
        <vt:i4>5</vt:i4>
      </vt:variant>
      <vt:variant>
        <vt:lpwstr/>
      </vt:variant>
      <vt:variant>
        <vt:lpwstr>_Toc107923285</vt:lpwstr>
      </vt:variant>
      <vt:variant>
        <vt:i4>1376310</vt:i4>
      </vt:variant>
      <vt:variant>
        <vt:i4>32</vt:i4>
      </vt:variant>
      <vt:variant>
        <vt:i4>0</vt:i4>
      </vt:variant>
      <vt:variant>
        <vt:i4>5</vt:i4>
      </vt:variant>
      <vt:variant>
        <vt:lpwstr/>
      </vt:variant>
      <vt:variant>
        <vt:lpwstr>_Toc107923284</vt:lpwstr>
      </vt:variant>
      <vt:variant>
        <vt:i4>1376310</vt:i4>
      </vt:variant>
      <vt:variant>
        <vt:i4>26</vt:i4>
      </vt:variant>
      <vt:variant>
        <vt:i4>0</vt:i4>
      </vt:variant>
      <vt:variant>
        <vt:i4>5</vt:i4>
      </vt:variant>
      <vt:variant>
        <vt:lpwstr/>
      </vt:variant>
      <vt:variant>
        <vt:lpwstr>_Toc107923283</vt:lpwstr>
      </vt:variant>
      <vt:variant>
        <vt:i4>1376310</vt:i4>
      </vt:variant>
      <vt:variant>
        <vt:i4>20</vt:i4>
      </vt:variant>
      <vt:variant>
        <vt:i4>0</vt:i4>
      </vt:variant>
      <vt:variant>
        <vt:i4>5</vt:i4>
      </vt:variant>
      <vt:variant>
        <vt:lpwstr/>
      </vt:variant>
      <vt:variant>
        <vt:lpwstr>_Toc107923282</vt:lpwstr>
      </vt:variant>
      <vt:variant>
        <vt:i4>1376310</vt:i4>
      </vt:variant>
      <vt:variant>
        <vt:i4>14</vt:i4>
      </vt:variant>
      <vt:variant>
        <vt:i4>0</vt:i4>
      </vt:variant>
      <vt:variant>
        <vt:i4>5</vt:i4>
      </vt:variant>
      <vt:variant>
        <vt:lpwstr/>
      </vt:variant>
      <vt:variant>
        <vt:lpwstr>_Toc107923281</vt:lpwstr>
      </vt:variant>
      <vt:variant>
        <vt:i4>1376310</vt:i4>
      </vt:variant>
      <vt:variant>
        <vt:i4>8</vt:i4>
      </vt:variant>
      <vt:variant>
        <vt:i4>0</vt:i4>
      </vt:variant>
      <vt:variant>
        <vt:i4>5</vt:i4>
      </vt:variant>
      <vt:variant>
        <vt:lpwstr/>
      </vt:variant>
      <vt:variant>
        <vt:lpwstr>_Toc107923280</vt:lpwstr>
      </vt:variant>
      <vt:variant>
        <vt:i4>1703990</vt:i4>
      </vt:variant>
      <vt:variant>
        <vt:i4>2</vt:i4>
      </vt:variant>
      <vt:variant>
        <vt:i4>0</vt:i4>
      </vt:variant>
      <vt:variant>
        <vt:i4>5</vt:i4>
      </vt:variant>
      <vt:variant>
        <vt:lpwstr/>
      </vt:variant>
      <vt:variant>
        <vt:lpwstr>_Toc107923279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in 'Summary'/'Title:'</dc:title>
  <dc:subject>Enter in 'Summary'/unique identifier'</dc:subject>
  <dc:creator>Viapath</dc:creator>
  <cp:keywords/>
  <dc:description/>
  <cp:lastModifiedBy>Tanya Scott</cp:lastModifiedBy>
  <cp:revision>2</cp:revision>
  <cp:lastPrinted>2014-05-20T16:33:00Z</cp:lastPrinted>
  <dcterms:created xsi:type="dcterms:W3CDTF">2022-11-04T14:18:00Z</dcterms:created>
  <dcterms:modified xsi:type="dcterms:W3CDTF">2022-11-04T14:18:00Z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ser">
    <vt:lpwstr>Enter name in 'Custom'/'Value:'</vt:lpwstr>
  </property>
  <property fmtid="{D5CDD505-2E9C-101B-9397-08002B2CF9AE}" pid="3" name="Version number">
    <vt:lpwstr>Enter number in 'Custom'/'Value:' (eg 00.0)</vt:lpwstr>
  </property>
  <property fmtid="{D5CDD505-2E9C-101B-9397-08002B2CF9AE}" pid="4" name="Department">
    <vt:lpwstr>Enter dept name in 'Custom'/'Value:'</vt:lpwstr>
  </property>
  <property fmtid="{D5CDD505-2E9C-101B-9397-08002B2CF9AE}" pid="5" name="Date issued">
    <vt:lpwstr>Enter date in 'Custom'/'Value:'</vt:lpwstr>
  </property>
  <property fmtid="{D5CDD505-2E9C-101B-9397-08002B2CF9AE}" pid="6" name="Review  date">
    <vt:lpwstr>Enter date in 'Custom'/'Value:'</vt:lpwstr>
  </property>
  <property fmtid="{D5CDD505-2E9C-101B-9397-08002B2CF9AE}" pid="7" name="WinDIP File ID">
    <vt:lpwstr>994e6362-fca3-467c-9a8c-1be98f777767</vt:lpwstr>
  </property>
  <property fmtid="{D5CDD505-2E9C-101B-9397-08002B2CF9AE}" pid="8" name="ContentTypeId">
    <vt:lpwstr>0x0101009EAEB5F479F9474A8D913CCE6146EECB</vt:lpwstr>
  </property>
</Properties>
</file>