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0EEC" w14:textId="77777777" w:rsidR="009140BE" w:rsidRDefault="009140BE" w:rsidP="006171C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77295031" w14:textId="77777777" w:rsidR="009140BE" w:rsidRDefault="009140BE" w:rsidP="006171CC">
      <w:pPr>
        <w:jc w:val="center"/>
        <w:rPr>
          <w:b/>
          <w:sz w:val="28"/>
          <w:szCs w:val="28"/>
          <w:u w:val="single"/>
        </w:rPr>
      </w:pPr>
    </w:p>
    <w:p w14:paraId="06F66D8D" w14:textId="77777777" w:rsidR="009A1A16" w:rsidRPr="00E1174D" w:rsidRDefault="005E2502" w:rsidP="006171CC">
      <w:pPr>
        <w:jc w:val="center"/>
        <w:rPr>
          <w:b/>
          <w:sz w:val="28"/>
          <w:szCs w:val="28"/>
          <w:u w:val="single"/>
        </w:rPr>
      </w:pPr>
      <w:r w:rsidRPr="00E1174D">
        <w:rPr>
          <w:b/>
          <w:sz w:val="28"/>
          <w:szCs w:val="28"/>
          <w:u w:val="single"/>
        </w:rPr>
        <w:t>Translation / Interpretation FAQ</w:t>
      </w:r>
    </w:p>
    <w:p w14:paraId="36D5768A" w14:textId="77777777" w:rsidR="00903541" w:rsidRDefault="00903541" w:rsidP="006171CC"/>
    <w:p w14:paraId="36316E71" w14:textId="77777777" w:rsidR="009140BE" w:rsidRDefault="009140BE" w:rsidP="006171CC"/>
    <w:p w14:paraId="2166A484" w14:textId="77777777" w:rsidR="00A63D2A" w:rsidRPr="008011E1" w:rsidRDefault="002E578C" w:rsidP="002E578C">
      <w:pPr>
        <w:pStyle w:val="ListParagraph"/>
        <w:numPr>
          <w:ilvl w:val="0"/>
          <w:numId w:val="15"/>
        </w:numPr>
      </w:pPr>
      <w:r w:rsidRPr="00A63D2A">
        <w:rPr>
          <w:b/>
        </w:rPr>
        <w:t xml:space="preserve">What language support services are available to </w:t>
      </w:r>
      <w:r w:rsidR="002B2626" w:rsidRPr="00A63D2A">
        <w:rPr>
          <w:b/>
        </w:rPr>
        <w:t>patients and</w:t>
      </w:r>
      <w:r w:rsidRPr="00A63D2A">
        <w:rPr>
          <w:b/>
        </w:rPr>
        <w:t xml:space="preserve"> staff at Kings College Hospital?</w:t>
      </w:r>
    </w:p>
    <w:p w14:paraId="79C23005" w14:textId="77777777" w:rsidR="008011E1" w:rsidRPr="00A63D2A" w:rsidRDefault="008011E1" w:rsidP="008011E1">
      <w:pPr>
        <w:pStyle w:val="ListParagraph"/>
        <w:ind w:left="360"/>
      </w:pPr>
    </w:p>
    <w:p w14:paraId="29B92861" w14:textId="7582B119" w:rsidR="002E578C" w:rsidRDefault="0029309D" w:rsidP="00A63D2A">
      <w:pPr>
        <w:pStyle w:val="ListParagraph"/>
        <w:ind w:left="360"/>
      </w:pPr>
      <w:r>
        <w:t>Across the Trust w</w:t>
      </w:r>
      <w:r w:rsidR="002E578C" w:rsidRPr="002E578C">
        <w:t xml:space="preserve">e provide a telephone interpreting </w:t>
      </w:r>
      <w:r w:rsidR="00986177" w:rsidRPr="002E578C">
        <w:t>service, which</w:t>
      </w:r>
      <w:r w:rsidR="002E578C" w:rsidRPr="002E578C">
        <w:t xml:space="preserve"> includes over 240 languages 24 hours a day; this connects users to a professionally qualified interpreter using a phone. Whilst telephone interpreting is a quick, easy and on-demand service to use, there are certain complex and sensitive appointments that </w:t>
      </w:r>
      <w:r w:rsidR="002B2626">
        <w:t xml:space="preserve">the </w:t>
      </w:r>
      <w:r w:rsidR="002E578C" w:rsidRPr="002E578C">
        <w:t>face-to-face interpreting service may be more appropriate for.</w:t>
      </w:r>
      <w:r w:rsidR="00A63D2A">
        <w:t xml:space="preserve"> </w:t>
      </w:r>
      <w:r w:rsidR="002E578C" w:rsidRPr="002E578C">
        <w:t>All documents can also be translated from/into more than 200 languages.</w:t>
      </w:r>
      <w:r w:rsidR="00903541" w:rsidRPr="00903541">
        <w:t xml:space="preserve"> The Trust has access to BSL interpreters for patients through our provider for </w:t>
      </w:r>
      <w:r w:rsidR="00DB7050" w:rsidRPr="00903541">
        <w:t>all</w:t>
      </w:r>
      <w:r w:rsidR="00903541" w:rsidRPr="00903541">
        <w:t xml:space="preserve"> our sites.</w:t>
      </w:r>
    </w:p>
    <w:p w14:paraId="3F4ECEC1" w14:textId="77777777" w:rsidR="003A06E2" w:rsidRPr="002E578C" w:rsidRDefault="003A06E2" w:rsidP="00A63D2A">
      <w:pPr>
        <w:pStyle w:val="ListParagraph"/>
        <w:ind w:left="360"/>
      </w:pPr>
      <w:r>
        <w:t>We now have access to interpreting on wheels units, giving us access to video interpreting including BSL.</w:t>
      </w:r>
    </w:p>
    <w:p w14:paraId="4D5EA0D2" w14:textId="77777777" w:rsidR="002E578C" w:rsidRPr="002E578C" w:rsidRDefault="002E578C" w:rsidP="002E578C"/>
    <w:p w14:paraId="424C88E8" w14:textId="77777777" w:rsidR="00A63D2A" w:rsidRDefault="002E578C" w:rsidP="002E578C">
      <w:pPr>
        <w:pStyle w:val="ListParagraph"/>
        <w:numPr>
          <w:ilvl w:val="0"/>
          <w:numId w:val="15"/>
        </w:numPr>
        <w:rPr>
          <w:b/>
        </w:rPr>
      </w:pPr>
      <w:r w:rsidRPr="00A63D2A">
        <w:rPr>
          <w:b/>
        </w:rPr>
        <w:t>Is there a guideline or protocol for language support services?</w:t>
      </w:r>
    </w:p>
    <w:p w14:paraId="0D2D0659" w14:textId="77777777" w:rsidR="008011E1" w:rsidRDefault="008011E1" w:rsidP="008011E1">
      <w:pPr>
        <w:pStyle w:val="ListParagraph"/>
        <w:ind w:left="360"/>
        <w:rPr>
          <w:b/>
        </w:rPr>
      </w:pPr>
    </w:p>
    <w:p w14:paraId="1359448C" w14:textId="2EE94C77" w:rsidR="002E578C" w:rsidRPr="00A63D2A" w:rsidRDefault="002E578C" w:rsidP="00A63D2A">
      <w:pPr>
        <w:pStyle w:val="ListParagraph"/>
        <w:ind w:left="360"/>
        <w:rPr>
          <w:b/>
        </w:rPr>
      </w:pPr>
      <w:r w:rsidRPr="002E578C">
        <w:t xml:space="preserve">There is no formal written policy in relation to language support services at the Trust. </w:t>
      </w:r>
      <w:r w:rsidR="008C4E05" w:rsidRPr="002E578C">
        <w:t>However,</w:t>
      </w:r>
      <w:r w:rsidRPr="002E578C">
        <w:t xml:space="preserve"> there is a detailed page on the Trust intranet that is available to all staff with guidance on how to access services. </w:t>
      </w:r>
    </w:p>
    <w:p w14:paraId="62A77BE2" w14:textId="77777777" w:rsidR="006171CC" w:rsidRPr="001E477F" w:rsidRDefault="006171CC" w:rsidP="002E578C">
      <w:pPr>
        <w:rPr>
          <w:b/>
        </w:rPr>
      </w:pPr>
    </w:p>
    <w:p w14:paraId="4E4882D0" w14:textId="77777777" w:rsidR="005F5331" w:rsidRDefault="006171CC" w:rsidP="002E578C">
      <w:pPr>
        <w:pStyle w:val="ListParagraph"/>
        <w:numPr>
          <w:ilvl w:val="0"/>
          <w:numId w:val="15"/>
        </w:numPr>
        <w:contextualSpacing/>
        <w:rPr>
          <w:b/>
        </w:rPr>
      </w:pPr>
      <w:r w:rsidRPr="005F5331">
        <w:rPr>
          <w:b/>
        </w:rPr>
        <w:t>Where in the world are the interpreters based</w:t>
      </w:r>
      <w:r w:rsidR="002B2626" w:rsidRPr="005F5331">
        <w:rPr>
          <w:b/>
        </w:rPr>
        <w:t>?</w:t>
      </w:r>
    </w:p>
    <w:p w14:paraId="4ECF4D1D" w14:textId="77777777" w:rsidR="008011E1" w:rsidRDefault="008011E1" w:rsidP="008011E1">
      <w:pPr>
        <w:pStyle w:val="ListParagraph"/>
        <w:ind w:left="360"/>
        <w:contextualSpacing/>
        <w:rPr>
          <w:b/>
        </w:rPr>
      </w:pPr>
    </w:p>
    <w:p w14:paraId="01CE2C6D" w14:textId="77777777" w:rsidR="006171CC" w:rsidRPr="005F5331" w:rsidRDefault="008011E1" w:rsidP="005F5331">
      <w:pPr>
        <w:pStyle w:val="ListParagraph"/>
        <w:ind w:left="360"/>
        <w:contextualSpacing/>
        <w:rPr>
          <w:b/>
        </w:rPr>
      </w:pPr>
      <w:r>
        <w:t>Face-to-</w:t>
      </w:r>
      <w:r w:rsidR="006171CC" w:rsidRPr="001E477F">
        <w:t>face interpreters (inc</w:t>
      </w:r>
      <w:r w:rsidR="006171CC">
        <w:t>luding</w:t>
      </w:r>
      <w:r w:rsidR="006171CC" w:rsidRPr="001E477F">
        <w:t xml:space="preserve"> BSL) are recruit</w:t>
      </w:r>
      <w:r w:rsidR="006171CC">
        <w:t xml:space="preserve">ed as locally as possible, as the </w:t>
      </w:r>
      <w:r w:rsidR="002B2626">
        <w:t>T</w:t>
      </w:r>
      <w:r w:rsidR="006171CC">
        <w:t xml:space="preserve">rust does not pay </w:t>
      </w:r>
      <w:r w:rsidR="006171CC" w:rsidRPr="001E477F">
        <w:t>any extra for travel.  Telephone inter</w:t>
      </w:r>
      <w:r w:rsidR="006171CC">
        <w:t xml:space="preserve">preters are across the world. The Trust </w:t>
      </w:r>
      <w:r w:rsidR="006171CC" w:rsidRPr="001E477F">
        <w:t>call</w:t>
      </w:r>
      <w:r w:rsidR="006171CC">
        <w:t>s a UK</w:t>
      </w:r>
      <w:r w:rsidR="006171CC" w:rsidRPr="001E477F">
        <w:t xml:space="preserve"> call centre and are transferred to the first available interpreter.   </w:t>
      </w:r>
    </w:p>
    <w:p w14:paraId="5D8B11BC" w14:textId="77777777" w:rsidR="002E578C" w:rsidRDefault="002E578C" w:rsidP="002E578C"/>
    <w:p w14:paraId="3B3445B9" w14:textId="7CF9B933" w:rsidR="002E578C" w:rsidRDefault="002E578C" w:rsidP="005F5331">
      <w:pPr>
        <w:pStyle w:val="ListParagraph"/>
        <w:numPr>
          <w:ilvl w:val="0"/>
          <w:numId w:val="15"/>
        </w:numPr>
        <w:rPr>
          <w:b/>
        </w:rPr>
      </w:pPr>
      <w:r w:rsidRPr="005F5331">
        <w:rPr>
          <w:b/>
        </w:rPr>
        <w:t xml:space="preserve">Are there any restrictions on the </w:t>
      </w:r>
      <w:r w:rsidR="00DB7050" w:rsidRPr="005F5331">
        <w:rPr>
          <w:b/>
        </w:rPr>
        <w:t>number</w:t>
      </w:r>
      <w:r w:rsidRPr="005F5331">
        <w:rPr>
          <w:b/>
        </w:rPr>
        <w:t xml:space="preserve"> of interpreters used at appointments?</w:t>
      </w:r>
    </w:p>
    <w:p w14:paraId="5F638E51" w14:textId="77777777" w:rsidR="008011E1" w:rsidRPr="005F5331" w:rsidRDefault="008011E1" w:rsidP="008011E1">
      <w:pPr>
        <w:pStyle w:val="ListParagraph"/>
        <w:ind w:left="360"/>
        <w:rPr>
          <w:b/>
        </w:rPr>
      </w:pPr>
    </w:p>
    <w:p w14:paraId="0957978A" w14:textId="77777777" w:rsidR="002E578C" w:rsidRPr="00FF4980" w:rsidRDefault="002E578C" w:rsidP="005F5331">
      <w:pPr>
        <w:ind w:firstLine="360"/>
      </w:pPr>
      <w:r w:rsidRPr="00FF4980">
        <w:rPr>
          <w:rFonts w:cs="Helvetica"/>
          <w:shd w:val="clear" w:color="auto" w:fill="FFFFFF"/>
        </w:rPr>
        <w:t>No</w:t>
      </w:r>
      <w:r w:rsidRPr="00FF4980">
        <w:t>.</w:t>
      </w:r>
    </w:p>
    <w:p w14:paraId="005D4202" w14:textId="77777777" w:rsidR="002E578C" w:rsidRDefault="002E578C" w:rsidP="002E578C"/>
    <w:p w14:paraId="14B9F509" w14:textId="034673B0" w:rsidR="002E578C" w:rsidRDefault="002E578C" w:rsidP="005F5331">
      <w:pPr>
        <w:pStyle w:val="ListParagraph"/>
        <w:numPr>
          <w:ilvl w:val="0"/>
          <w:numId w:val="15"/>
        </w:numPr>
        <w:rPr>
          <w:b/>
          <w:bCs/>
          <w:color w:val="000000"/>
          <w:lang w:eastAsia="en-GB"/>
        </w:rPr>
      </w:pPr>
      <w:r w:rsidRPr="005F5331">
        <w:rPr>
          <w:b/>
          <w:bCs/>
          <w:color w:val="000000"/>
          <w:lang w:eastAsia="en-GB"/>
        </w:rPr>
        <w:t xml:space="preserve">Do you service interpreting requirements in-house or do you outsource to a </w:t>
      </w:r>
      <w:r w:rsidR="00DB7050" w:rsidRPr="005F5331">
        <w:rPr>
          <w:b/>
          <w:bCs/>
          <w:color w:val="000000"/>
          <w:lang w:eastAsia="en-GB"/>
        </w:rPr>
        <w:t>third-party</w:t>
      </w:r>
      <w:r w:rsidRPr="005F5331">
        <w:rPr>
          <w:b/>
          <w:bCs/>
          <w:color w:val="000000"/>
          <w:lang w:eastAsia="en-GB"/>
        </w:rPr>
        <w:t xml:space="preserve"> company? </w:t>
      </w:r>
    </w:p>
    <w:p w14:paraId="3CFA177D" w14:textId="77777777" w:rsidR="008011E1" w:rsidRPr="005F5331" w:rsidRDefault="008011E1" w:rsidP="008011E1">
      <w:pPr>
        <w:pStyle w:val="ListParagraph"/>
        <w:ind w:left="360"/>
        <w:rPr>
          <w:b/>
          <w:bCs/>
          <w:color w:val="000000"/>
          <w:lang w:eastAsia="en-GB"/>
        </w:rPr>
      </w:pPr>
    </w:p>
    <w:p w14:paraId="6163E79D" w14:textId="77777777" w:rsidR="002E578C" w:rsidRDefault="002E578C" w:rsidP="005F5331">
      <w:pPr>
        <w:ind w:firstLine="360"/>
        <w:rPr>
          <w:lang w:eastAsia="en-GB"/>
        </w:rPr>
      </w:pPr>
      <w:r>
        <w:rPr>
          <w:lang w:eastAsia="en-GB"/>
        </w:rPr>
        <w:t>The Trust outsources to a third party.</w:t>
      </w:r>
    </w:p>
    <w:p w14:paraId="50B94FD8" w14:textId="77777777" w:rsidR="002E578C" w:rsidRDefault="002E578C" w:rsidP="002E578C">
      <w:pPr>
        <w:pStyle w:val="ListParagraph"/>
        <w:rPr>
          <w:color w:val="1F497D"/>
          <w:lang w:eastAsia="en-GB"/>
        </w:rPr>
      </w:pPr>
    </w:p>
    <w:p w14:paraId="7038FB31" w14:textId="77777777" w:rsidR="002E578C" w:rsidRDefault="002E578C" w:rsidP="005F5331">
      <w:pPr>
        <w:pStyle w:val="ListParagraph"/>
        <w:numPr>
          <w:ilvl w:val="0"/>
          <w:numId w:val="15"/>
        </w:numPr>
        <w:rPr>
          <w:b/>
          <w:bCs/>
          <w:color w:val="000000"/>
          <w:lang w:eastAsia="en-GB"/>
        </w:rPr>
      </w:pPr>
      <w:r w:rsidRPr="005F5331">
        <w:rPr>
          <w:b/>
          <w:bCs/>
          <w:color w:val="000000"/>
          <w:lang w:eastAsia="en-GB"/>
        </w:rPr>
        <w:t xml:space="preserve">What is the name of the organisation you outsource to? </w:t>
      </w:r>
    </w:p>
    <w:p w14:paraId="55096BF4" w14:textId="77777777" w:rsidR="008011E1" w:rsidRPr="005F5331" w:rsidRDefault="008011E1" w:rsidP="008011E1">
      <w:pPr>
        <w:pStyle w:val="ListParagraph"/>
        <w:ind w:left="360"/>
        <w:rPr>
          <w:b/>
          <w:bCs/>
          <w:color w:val="000000"/>
          <w:lang w:eastAsia="en-GB"/>
        </w:rPr>
      </w:pPr>
    </w:p>
    <w:p w14:paraId="657F51DF" w14:textId="77777777" w:rsidR="0085067C" w:rsidRDefault="0085067C" w:rsidP="005F5331">
      <w:pPr>
        <w:ind w:left="360"/>
      </w:pPr>
      <w:r w:rsidRPr="00C23EF7">
        <w:lastRenderedPageBreak/>
        <w:t>The Trust uses Language Line for all spoken languages and Clarion for BSL/Deaf/Lip reading/Speech-to-Text interpreters</w:t>
      </w:r>
      <w:r>
        <w:t>.</w:t>
      </w:r>
    </w:p>
    <w:p w14:paraId="6074B6DF" w14:textId="77777777" w:rsidR="00B400CF" w:rsidRPr="00284067" w:rsidRDefault="00B400CF" w:rsidP="0085067C"/>
    <w:p w14:paraId="78986133" w14:textId="77777777" w:rsidR="00B400CF" w:rsidRDefault="00B400CF" w:rsidP="005F5331">
      <w:pPr>
        <w:pStyle w:val="gmail-msolistparagraph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284067">
        <w:rPr>
          <w:rFonts w:ascii="Calibri" w:hAnsi="Calibri" w:cs="Calibri"/>
          <w:b/>
          <w:sz w:val="22"/>
          <w:szCs w:val="22"/>
        </w:rPr>
        <w:t>A breakdown of the cost of the services?</w:t>
      </w:r>
    </w:p>
    <w:p w14:paraId="08D5D9B7" w14:textId="77777777" w:rsidR="008011E1" w:rsidRPr="00284067" w:rsidRDefault="008011E1" w:rsidP="008011E1">
      <w:pPr>
        <w:pStyle w:val="gmail-msolistparagraph"/>
        <w:spacing w:before="0" w:beforeAutospacing="0" w:after="0" w:afterAutospacing="0"/>
        <w:ind w:left="360"/>
        <w:rPr>
          <w:rFonts w:ascii="Calibri" w:hAnsi="Calibri" w:cs="Calibri"/>
          <w:b/>
          <w:sz w:val="22"/>
          <w:szCs w:val="22"/>
        </w:rPr>
      </w:pPr>
    </w:p>
    <w:p w14:paraId="0F0E0272" w14:textId="17DDCAB6" w:rsidR="00B400CF" w:rsidRPr="00284067" w:rsidRDefault="0020295D" w:rsidP="009140BE">
      <w:pPr>
        <w:ind w:left="360"/>
      </w:pPr>
      <w:r w:rsidRPr="00284067">
        <w:t xml:space="preserve">Due to commercial </w:t>
      </w:r>
      <w:r w:rsidR="00986177" w:rsidRPr="00284067">
        <w:t>sensitivity,</w:t>
      </w:r>
      <w:r w:rsidRPr="00284067">
        <w:t xml:space="preserve"> we are only able to provide a </w:t>
      </w:r>
      <w:r w:rsidR="00DB7050" w:rsidRPr="00284067">
        <w:t>range,</w:t>
      </w:r>
      <w:r w:rsidRPr="00284067">
        <w:t xml:space="preserve"> but t</w:t>
      </w:r>
      <w:r w:rsidR="009140BE" w:rsidRPr="00284067">
        <w:t>ele</w:t>
      </w:r>
      <w:r w:rsidRPr="00284067">
        <w:t>phone Inter</w:t>
      </w:r>
      <w:r w:rsidR="00284067" w:rsidRPr="00284067">
        <w:t xml:space="preserve">preting is priced between £0.30 and </w:t>
      </w:r>
      <w:r w:rsidR="009140BE" w:rsidRPr="00284067">
        <w:t>£0.50 per m</w:t>
      </w:r>
      <w:r w:rsidRPr="00284067">
        <w:t>inute and face to face varies</w:t>
      </w:r>
      <w:r w:rsidR="009140BE" w:rsidRPr="00284067">
        <w:t xml:space="preserve"> on an initial </w:t>
      </w:r>
      <w:r w:rsidRPr="00284067">
        <w:t xml:space="preserve">rate then </w:t>
      </w:r>
      <w:r w:rsidR="009140BE" w:rsidRPr="00284067">
        <w:t xml:space="preserve">in hours. The first hour is at a cost of </w:t>
      </w:r>
      <w:r w:rsidRPr="00284067">
        <w:t>between £</w:t>
      </w:r>
      <w:r w:rsidR="007B236C">
        <w:t>23</w:t>
      </w:r>
      <w:r w:rsidRPr="00284067">
        <w:t xml:space="preserve">- </w:t>
      </w:r>
      <w:r w:rsidR="009140BE" w:rsidRPr="00284067">
        <w:t>£</w:t>
      </w:r>
      <w:r w:rsidR="007B236C">
        <w:t>30</w:t>
      </w:r>
      <w:r w:rsidR="009140BE" w:rsidRPr="00284067">
        <w:t>.00.</w:t>
      </w:r>
    </w:p>
    <w:p w14:paraId="27809566" w14:textId="77777777" w:rsidR="007E7C8F" w:rsidRDefault="007E7C8F" w:rsidP="0085067C"/>
    <w:p w14:paraId="05171FFA" w14:textId="77777777" w:rsidR="008011E1" w:rsidRDefault="008011E1" w:rsidP="0085067C"/>
    <w:p w14:paraId="633276A9" w14:textId="095C1B74" w:rsidR="002E578C" w:rsidRDefault="002E578C" w:rsidP="005F5331">
      <w:pPr>
        <w:pStyle w:val="ListParagraph"/>
        <w:numPr>
          <w:ilvl w:val="0"/>
          <w:numId w:val="15"/>
        </w:numPr>
        <w:rPr>
          <w:b/>
          <w:bCs/>
          <w:color w:val="000000"/>
          <w:lang w:eastAsia="en-GB"/>
        </w:rPr>
      </w:pPr>
      <w:r w:rsidRPr="005F5331">
        <w:rPr>
          <w:b/>
          <w:bCs/>
          <w:color w:val="000000"/>
          <w:lang w:eastAsia="en-GB"/>
        </w:rPr>
        <w:t xml:space="preserve">Is the interpreting services provision contracted under </w:t>
      </w:r>
      <w:r w:rsidR="00DB7050" w:rsidRPr="005F5331">
        <w:rPr>
          <w:b/>
          <w:bCs/>
          <w:color w:val="000000"/>
          <w:lang w:eastAsia="en-GB"/>
        </w:rPr>
        <w:t>an</w:t>
      </w:r>
      <w:r w:rsidRPr="005F5331">
        <w:rPr>
          <w:b/>
          <w:bCs/>
          <w:color w:val="000000"/>
          <w:lang w:eastAsia="en-GB"/>
        </w:rPr>
        <w:t xml:space="preserve"> OJUE/Framework or is the service provided off contract? </w:t>
      </w:r>
    </w:p>
    <w:p w14:paraId="21FF1E1E" w14:textId="77777777" w:rsidR="008011E1" w:rsidRPr="005F5331" w:rsidRDefault="008011E1" w:rsidP="008011E1">
      <w:pPr>
        <w:pStyle w:val="ListParagraph"/>
        <w:ind w:left="360"/>
        <w:rPr>
          <w:b/>
          <w:bCs/>
          <w:color w:val="000000"/>
          <w:lang w:eastAsia="en-GB"/>
        </w:rPr>
      </w:pPr>
    </w:p>
    <w:p w14:paraId="53332DE1" w14:textId="77777777" w:rsidR="005F5331" w:rsidRDefault="002E578C" w:rsidP="005F5331">
      <w:pPr>
        <w:ind w:firstLine="360"/>
        <w:rPr>
          <w:lang w:eastAsia="en-GB"/>
        </w:rPr>
      </w:pPr>
      <w:r>
        <w:rPr>
          <w:lang w:eastAsia="en-GB"/>
        </w:rPr>
        <w:t>On Framework.</w:t>
      </w:r>
    </w:p>
    <w:p w14:paraId="6D73E76E" w14:textId="77777777" w:rsidR="005F5331" w:rsidRDefault="005F5331" w:rsidP="005F5331">
      <w:pPr>
        <w:ind w:firstLine="360"/>
        <w:rPr>
          <w:lang w:eastAsia="en-GB"/>
        </w:rPr>
      </w:pPr>
    </w:p>
    <w:p w14:paraId="128246DF" w14:textId="77777777" w:rsidR="002E578C" w:rsidRPr="008011E1" w:rsidRDefault="002E578C" w:rsidP="005F5331">
      <w:pPr>
        <w:pStyle w:val="ListParagraph"/>
        <w:numPr>
          <w:ilvl w:val="0"/>
          <w:numId w:val="15"/>
        </w:numPr>
        <w:rPr>
          <w:lang w:eastAsia="en-GB"/>
        </w:rPr>
      </w:pPr>
      <w:r w:rsidRPr="005F5331">
        <w:rPr>
          <w:b/>
          <w:bCs/>
          <w:color w:val="000000"/>
          <w:lang w:eastAsia="en-GB"/>
        </w:rPr>
        <w:t>What OJUE/Framework contract is the Trust accessing</w:t>
      </w:r>
      <w:r w:rsidR="00FF4980" w:rsidRPr="005F5331">
        <w:rPr>
          <w:b/>
          <w:bCs/>
          <w:color w:val="000000"/>
          <w:lang w:eastAsia="en-GB"/>
        </w:rPr>
        <w:t>?</w:t>
      </w:r>
    </w:p>
    <w:p w14:paraId="2AE59FAC" w14:textId="77777777" w:rsidR="008011E1" w:rsidRPr="005F5331" w:rsidRDefault="008011E1" w:rsidP="008011E1">
      <w:pPr>
        <w:pStyle w:val="ListParagraph"/>
        <w:ind w:left="360"/>
        <w:rPr>
          <w:lang w:eastAsia="en-GB"/>
        </w:rPr>
      </w:pPr>
    </w:p>
    <w:p w14:paraId="462B47F9" w14:textId="77777777" w:rsidR="002E578C" w:rsidRDefault="002E578C" w:rsidP="005F5331">
      <w:pPr>
        <w:ind w:firstLine="360"/>
        <w:rPr>
          <w:b/>
          <w:bCs/>
          <w:color w:val="1F497D"/>
          <w:lang w:eastAsia="en-GB"/>
        </w:rPr>
      </w:pPr>
      <w:r>
        <w:rPr>
          <w:lang w:eastAsia="en-GB"/>
        </w:rPr>
        <w:t xml:space="preserve">Shared Business Service Interpreting and Translation Services (ITS) Framework.  </w:t>
      </w:r>
    </w:p>
    <w:p w14:paraId="05750808" w14:textId="77777777" w:rsidR="00AB2B89" w:rsidRDefault="00AB2B89" w:rsidP="002E578C">
      <w:pPr>
        <w:rPr>
          <w:b/>
          <w:bCs/>
          <w:color w:val="1F497D"/>
          <w:lang w:eastAsia="en-GB"/>
        </w:rPr>
      </w:pPr>
    </w:p>
    <w:p w14:paraId="75C1D5F2" w14:textId="77777777" w:rsidR="002E578C" w:rsidRDefault="002E578C" w:rsidP="005F5331">
      <w:pPr>
        <w:pStyle w:val="ListParagraph"/>
        <w:numPr>
          <w:ilvl w:val="0"/>
          <w:numId w:val="15"/>
        </w:numPr>
        <w:rPr>
          <w:b/>
          <w:bCs/>
          <w:color w:val="000000"/>
          <w:lang w:eastAsia="en-GB"/>
        </w:rPr>
      </w:pPr>
      <w:r w:rsidRPr="005F5331">
        <w:rPr>
          <w:b/>
          <w:bCs/>
          <w:color w:val="000000"/>
          <w:lang w:eastAsia="en-GB"/>
        </w:rPr>
        <w:t>Who is the senior responsible officer for interpreting services at the Trust?</w:t>
      </w:r>
    </w:p>
    <w:p w14:paraId="2839AA37" w14:textId="77777777" w:rsidR="008011E1" w:rsidRPr="005F5331" w:rsidRDefault="008011E1" w:rsidP="008011E1">
      <w:pPr>
        <w:pStyle w:val="ListParagraph"/>
        <w:ind w:left="360"/>
        <w:rPr>
          <w:b/>
          <w:bCs/>
          <w:color w:val="000000"/>
          <w:lang w:eastAsia="en-GB"/>
        </w:rPr>
      </w:pPr>
    </w:p>
    <w:p w14:paraId="4743B8DA" w14:textId="5FFE5E67" w:rsidR="002E578C" w:rsidRDefault="000838A0" w:rsidP="00D827C6">
      <w:pPr>
        <w:ind w:firstLine="360"/>
        <w:rPr>
          <w:lang w:eastAsia="en-GB"/>
        </w:rPr>
      </w:pPr>
      <w:r>
        <w:rPr>
          <w:lang w:eastAsia="en-GB"/>
        </w:rPr>
        <w:t xml:space="preserve">Head of Patient Advice and Liaison Services </w:t>
      </w:r>
      <w:r w:rsidR="002E578C">
        <w:rPr>
          <w:lang w:eastAsia="en-GB"/>
        </w:rPr>
        <w:t xml:space="preserve"> </w:t>
      </w:r>
    </w:p>
    <w:p w14:paraId="0C1757DE" w14:textId="77777777" w:rsidR="002E578C" w:rsidRPr="001E477F" w:rsidRDefault="002E578C" w:rsidP="002E578C"/>
    <w:p w14:paraId="76929CDD" w14:textId="77777777" w:rsidR="00903541" w:rsidRDefault="00903541" w:rsidP="005F5331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7F3854">
        <w:rPr>
          <w:b/>
          <w:bCs/>
        </w:rPr>
        <w:t xml:space="preserve">How many languages do you translate patient information into? </w:t>
      </w:r>
    </w:p>
    <w:p w14:paraId="7198B37B" w14:textId="77777777" w:rsidR="008011E1" w:rsidRPr="007F3854" w:rsidRDefault="008011E1" w:rsidP="008011E1">
      <w:pPr>
        <w:pStyle w:val="ListParagraph"/>
        <w:ind w:left="360"/>
        <w:jc w:val="both"/>
        <w:rPr>
          <w:b/>
          <w:bCs/>
        </w:rPr>
      </w:pPr>
    </w:p>
    <w:p w14:paraId="0A2A76CA" w14:textId="77777777" w:rsidR="00903541" w:rsidRDefault="00146538" w:rsidP="005F5331">
      <w:pPr>
        <w:ind w:firstLine="360"/>
        <w:jc w:val="both"/>
      </w:pPr>
      <w:r w:rsidRPr="007F3854">
        <w:t>240+</w:t>
      </w:r>
      <w:r w:rsidR="003A06E2">
        <w:t xml:space="preserve"> languages available for translations </w:t>
      </w:r>
    </w:p>
    <w:p w14:paraId="1A1BD5AA" w14:textId="77777777" w:rsidR="009140BE" w:rsidRDefault="009140BE" w:rsidP="00903541">
      <w:pPr>
        <w:jc w:val="both"/>
      </w:pPr>
    </w:p>
    <w:p w14:paraId="38E089AA" w14:textId="77777777" w:rsidR="00284800" w:rsidRDefault="00284800" w:rsidP="005F5331">
      <w:pPr>
        <w:pStyle w:val="ListParagraph"/>
        <w:numPr>
          <w:ilvl w:val="0"/>
          <w:numId w:val="15"/>
        </w:numPr>
        <w:jc w:val="both"/>
        <w:rPr>
          <w:b/>
        </w:rPr>
      </w:pPr>
      <w:r w:rsidRPr="007F3854">
        <w:rPr>
          <w:b/>
        </w:rPr>
        <w:t>Please list your top ten most popular languages for the last 2 years</w:t>
      </w:r>
    </w:p>
    <w:p w14:paraId="190E0D5C" w14:textId="77777777" w:rsidR="00646AA6" w:rsidRPr="007F3854" w:rsidRDefault="00646AA6" w:rsidP="00646AA6">
      <w:pPr>
        <w:pStyle w:val="ListParagraph"/>
        <w:ind w:left="360"/>
        <w:jc w:val="both"/>
        <w:rPr>
          <w:b/>
        </w:rPr>
      </w:pPr>
    </w:p>
    <w:tbl>
      <w:tblPr>
        <w:tblpPr w:leftFromText="180" w:rightFromText="180" w:vertAnchor="text" w:horzAnchor="page" w:tblpX="496" w:tblpY="-29"/>
        <w:tblOverlap w:val="never"/>
        <w:tblW w:w="3397" w:type="dxa"/>
        <w:tblLook w:val="04A0" w:firstRow="1" w:lastRow="0" w:firstColumn="1" w:lastColumn="0" w:noHBand="0" w:noVBand="1"/>
      </w:tblPr>
      <w:tblGrid>
        <w:gridCol w:w="3397"/>
      </w:tblGrid>
      <w:tr w:rsidR="00165FE5" w:rsidRPr="001D76C3" w14:paraId="0D6B5CF2" w14:textId="77777777" w:rsidTr="00165FE5">
        <w:trPr>
          <w:trHeight w:val="2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768F7D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b/>
                <w:bCs/>
                <w:lang w:eastAsia="en-GB"/>
              </w:rPr>
              <w:t>Top 10- April 2022 to March 2023</w:t>
            </w:r>
          </w:p>
        </w:tc>
      </w:tr>
      <w:tr w:rsidR="00165FE5" w:rsidRPr="001D76C3" w14:paraId="2F9EB252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5BAB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Spanish</w:t>
            </w:r>
          </w:p>
        </w:tc>
      </w:tr>
      <w:tr w:rsidR="00165FE5" w:rsidRPr="001D76C3" w14:paraId="09CCE78B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CFB9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Portuguese</w:t>
            </w:r>
          </w:p>
        </w:tc>
      </w:tr>
      <w:tr w:rsidR="00165FE5" w:rsidRPr="001D76C3" w14:paraId="41BF8D2A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7260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Arabic</w:t>
            </w:r>
          </w:p>
        </w:tc>
      </w:tr>
      <w:tr w:rsidR="00165FE5" w:rsidRPr="001D76C3" w14:paraId="052180D8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5840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Mandarin Chinese</w:t>
            </w:r>
          </w:p>
        </w:tc>
      </w:tr>
      <w:tr w:rsidR="00165FE5" w:rsidRPr="001D76C3" w14:paraId="70002A45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A007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Albanian</w:t>
            </w:r>
          </w:p>
        </w:tc>
      </w:tr>
      <w:tr w:rsidR="00165FE5" w:rsidRPr="001D76C3" w14:paraId="4D73CB43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917A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Romanian</w:t>
            </w:r>
          </w:p>
        </w:tc>
      </w:tr>
      <w:tr w:rsidR="00165FE5" w:rsidRPr="001D76C3" w14:paraId="1BFCF6C1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B04A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Turkish</w:t>
            </w:r>
          </w:p>
        </w:tc>
      </w:tr>
      <w:tr w:rsidR="00165FE5" w:rsidRPr="001D76C3" w14:paraId="6D310EDA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04EE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French</w:t>
            </w:r>
          </w:p>
        </w:tc>
      </w:tr>
      <w:tr w:rsidR="00165FE5" w:rsidRPr="001D76C3" w14:paraId="23D5DB7F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ACB9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Polish</w:t>
            </w:r>
          </w:p>
        </w:tc>
      </w:tr>
      <w:tr w:rsidR="00165FE5" w:rsidRPr="001D76C3" w14:paraId="1AB9A486" w14:textId="77777777" w:rsidTr="00165FE5">
        <w:trPr>
          <w:trHeight w:val="3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6A02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lang w:eastAsia="en-GB"/>
              </w:rPr>
              <w:t>Cantonese Chinese</w:t>
            </w:r>
          </w:p>
        </w:tc>
      </w:tr>
    </w:tbl>
    <w:tbl>
      <w:tblPr>
        <w:tblpPr w:leftFromText="180" w:rightFromText="180" w:vertAnchor="text" w:horzAnchor="margin" w:tblpXSpec="center" w:tblpY="16"/>
        <w:tblW w:w="3397" w:type="dxa"/>
        <w:tblLook w:val="04A0" w:firstRow="1" w:lastRow="0" w:firstColumn="1" w:lastColumn="0" w:noHBand="0" w:noVBand="1"/>
      </w:tblPr>
      <w:tblGrid>
        <w:gridCol w:w="3397"/>
      </w:tblGrid>
      <w:tr w:rsidR="00165FE5" w:rsidRPr="001D76C3" w14:paraId="6A3B423A" w14:textId="77777777" w:rsidTr="00165FE5">
        <w:trPr>
          <w:trHeight w:val="2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50CE1B2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b/>
                <w:bCs/>
                <w:lang w:eastAsia="en-GB"/>
              </w:rPr>
              <w:t>Top 10- April 2023 to March 2024</w:t>
            </w:r>
          </w:p>
        </w:tc>
      </w:tr>
      <w:tr w:rsidR="00165FE5" w:rsidRPr="001D76C3" w14:paraId="0EC4C205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9FBB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Spanish</w:t>
            </w:r>
          </w:p>
        </w:tc>
      </w:tr>
      <w:tr w:rsidR="00165FE5" w:rsidRPr="001D76C3" w14:paraId="0AD104BF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01AD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Portuguese</w:t>
            </w:r>
          </w:p>
        </w:tc>
      </w:tr>
      <w:tr w:rsidR="00165FE5" w:rsidRPr="001D76C3" w14:paraId="6419AD37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BE06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Arabic</w:t>
            </w:r>
          </w:p>
        </w:tc>
      </w:tr>
      <w:tr w:rsidR="00165FE5" w:rsidRPr="001D76C3" w14:paraId="36F2CDFE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0A4C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Mandarin Chinese</w:t>
            </w:r>
          </w:p>
        </w:tc>
      </w:tr>
      <w:tr w:rsidR="00165FE5" w:rsidRPr="001D76C3" w14:paraId="613484A4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E96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Ukrainian</w:t>
            </w:r>
          </w:p>
        </w:tc>
      </w:tr>
      <w:tr w:rsidR="00165FE5" w:rsidRPr="001D76C3" w14:paraId="1BFFFB9C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719A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Vietnamese</w:t>
            </w:r>
          </w:p>
        </w:tc>
      </w:tr>
      <w:tr w:rsidR="00165FE5" w:rsidRPr="001D76C3" w14:paraId="13F4667E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6145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Albanian</w:t>
            </w:r>
          </w:p>
        </w:tc>
      </w:tr>
      <w:tr w:rsidR="00165FE5" w:rsidRPr="001D76C3" w14:paraId="58C02CDA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9BC2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French</w:t>
            </w:r>
          </w:p>
        </w:tc>
      </w:tr>
      <w:tr w:rsidR="00165FE5" w:rsidRPr="001D76C3" w14:paraId="23E71793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9D0E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Polish</w:t>
            </w:r>
          </w:p>
        </w:tc>
      </w:tr>
      <w:tr w:rsidR="00165FE5" w:rsidRPr="001D76C3" w14:paraId="187FF49D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350C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Romanian</w:t>
            </w:r>
          </w:p>
        </w:tc>
      </w:tr>
    </w:tbl>
    <w:tbl>
      <w:tblPr>
        <w:tblpPr w:leftFromText="180" w:rightFromText="180" w:vertAnchor="text" w:horzAnchor="page" w:tblpX="7996" w:tblpY="61"/>
        <w:tblW w:w="3397" w:type="dxa"/>
        <w:tblLook w:val="04A0" w:firstRow="1" w:lastRow="0" w:firstColumn="1" w:lastColumn="0" w:noHBand="0" w:noVBand="1"/>
      </w:tblPr>
      <w:tblGrid>
        <w:gridCol w:w="3397"/>
      </w:tblGrid>
      <w:tr w:rsidR="00165FE5" w:rsidRPr="001D76C3" w14:paraId="61DA9760" w14:textId="77777777" w:rsidTr="00165FE5">
        <w:trPr>
          <w:trHeight w:val="2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C7EA707" w14:textId="0CF76963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019E">
              <w:rPr>
                <w:rFonts w:ascii="Calibri" w:eastAsia="Times New Roman" w:hAnsi="Calibri" w:cs="Calibri"/>
                <w:b/>
                <w:bCs/>
                <w:lang w:eastAsia="en-GB"/>
              </w:rPr>
              <w:t>Top 10- April 202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4</w:t>
            </w:r>
            <w:r w:rsidRPr="00AE01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to March 202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5</w:t>
            </w:r>
          </w:p>
        </w:tc>
      </w:tr>
      <w:tr w:rsidR="00165FE5" w:rsidRPr="001D76C3" w14:paraId="5FE52412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23EE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Spanish</w:t>
            </w:r>
          </w:p>
        </w:tc>
      </w:tr>
      <w:tr w:rsidR="00165FE5" w:rsidRPr="001D76C3" w14:paraId="13C6BB3A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B2BC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Portuguese</w:t>
            </w:r>
          </w:p>
        </w:tc>
      </w:tr>
      <w:tr w:rsidR="00165FE5" w:rsidRPr="001D76C3" w14:paraId="66B3C70B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6D52" w14:textId="2055991C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t>Vietnamese</w:t>
            </w:r>
          </w:p>
        </w:tc>
      </w:tr>
      <w:tr w:rsidR="00165FE5" w:rsidRPr="001D76C3" w14:paraId="6C910315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CC30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Mandarin Chinese</w:t>
            </w:r>
          </w:p>
        </w:tc>
      </w:tr>
      <w:tr w:rsidR="00165FE5" w:rsidRPr="001D76C3" w14:paraId="5FEB0581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3EEF" w14:textId="2E710B41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t>Arabic</w:t>
            </w:r>
          </w:p>
        </w:tc>
      </w:tr>
      <w:tr w:rsidR="00165FE5" w:rsidRPr="001D76C3" w14:paraId="4AD30354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05EC" w14:textId="609C939A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t>Bengali</w:t>
            </w:r>
          </w:p>
        </w:tc>
      </w:tr>
      <w:tr w:rsidR="00165FE5" w:rsidRPr="001D76C3" w14:paraId="0046DAF3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8A21" w14:textId="559324F2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t>Polish</w:t>
            </w:r>
          </w:p>
        </w:tc>
      </w:tr>
      <w:tr w:rsidR="00165FE5" w:rsidRPr="001D76C3" w14:paraId="72F68FE1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5047" w14:textId="77777777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E019E">
              <w:t>French</w:t>
            </w:r>
          </w:p>
        </w:tc>
      </w:tr>
      <w:tr w:rsidR="00165FE5" w:rsidRPr="001D76C3" w14:paraId="6440AAF5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9C07" w14:textId="2D058390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Romanian</w:t>
            </w:r>
          </w:p>
        </w:tc>
      </w:tr>
      <w:tr w:rsidR="00165FE5" w:rsidRPr="001D76C3" w14:paraId="23F261D4" w14:textId="77777777" w:rsidTr="00165FE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60EF" w14:textId="606AC16F" w:rsidR="00165FE5" w:rsidRPr="00AE019E" w:rsidRDefault="00165FE5" w:rsidP="00165FE5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t>Ukrainian</w:t>
            </w:r>
          </w:p>
        </w:tc>
      </w:tr>
    </w:tbl>
    <w:p w14:paraId="0A960FA3" w14:textId="77777777" w:rsidR="00165FE5" w:rsidRPr="00AE019E" w:rsidRDefault="001D76C3" w:rsidP="001D76C3">
      <w:pPr>
        <w:tabs>
          <w:tab w:val="left" w:pos="900"/>
        </w:tabs>
      </w:pPr>
      <w:r w:rsidRPr="00AE019E">
        <w:tab/>
      </w:r>
    </w:p>
    <w:p w14:paraId="3C7E77DF" w14:textId="1C1E7A7B" w:rsidR="0004252E" w:rsidRPr="008011E1" w:rsidRDefault="0004252E" w:rsidP="008011E1">
      <w:pPr>
        <w:tabs>
          <w:tab w:val="left" w:pos="900"/>
        </w:tabs>
      </w:pPr>
    </w:p>
    <w:p w14:paraId="5AC9864B" w14:textId="77777777" w:rsidR="00646AA6" w:rsidRDefault="00903541" w:rsidP="00473BF3">
      <w:pPr>
        <w:pStyle w:val="ListParagraph"/>
        <w:numPr>
          <w:ilvl w:val="0"/>
          <w:numId w:val="15"/>
        </w:numPr>
        <w:rPr>
          <w:b/>
          <w:bCs/>
        </w:rPr>
      </w:pPr>
      <w:r w:rsidRPr="007F3854">
        <w:rPr>
          <w:b/>
          <w:bCs/>
        </w:rPr>
        <w:t>How much did your Trust pay for the services of translators for patients in each of t</w:t>
      </w:r>
      <w:r w:rsidR="0085067C" w:rsidRPr="007F3854">
        <w:rPr>
          <w:b/>
          <w:bCs/>
        </w:rPr>
        <w:t>he last five</w:t>
      </w:r>
      <w:r w:rsidR="00B473AC" w:rsidRPr="007F3854">
        <w:rPr>
          <w:b/>
          <w:bCs/>
        </w:rPr>
        <w:t xml:space="preserve"> financial years? </w:t>
      </w:r>
    </w:p>
    <w:p w14:paraId="0031D4C0" w14:textId="77777777" w:rsidR="008011E1" w:rsidRPr="008011E1" w:rsidRDefault="008011E1" w:rsidP="008011E1">
      <w:pPr>
        <w:pStyle w:val="ListParagraph"/>
        <w:ind w:left="360"/>
        <w:rPr>
          <w:b/>
          <w:bCs/>
        </w:rPr>
      </w:pPr>
    </w:p>
    <w:p w14:paraId="12BB73A3" w14:textId="77777777" w:rsidR="00903541" w:rsidRDefault="00903541" w:rsidP="00646AA6">
      <w:pPr>
        <w:ind w:firstLine="360"/>
        <w:rPr>
          <w:u w:val="single"/>
        </w:rPr>
      </w:pPr>
      <w:r w:rsidRPr="00903541">
        <w:rPr>
          <w:u w:val="single"/>
        </w:rPr>
        <w:t xml:space="preserve">Please note: </w:t>
      </w:r>
    </w:p>
    <w:p w14:paraId="3C4FFC4C" w14:textId="77777777" w:rsidR="00492C44" w:rsidRPr="00903541" w:rsidRDefault="00492C44" w:rsidP="005F5331">
      <w:pPr>
        <w:ind w:left="360"/>
      </w:pPr>
    </w:p>
    <w:p w14:paraId="638ECDC6" w14:textId="26B580E4" w:rsidR="00903541" w:rsidRDefault="00903541" w:rsidP="005F5331">
      <w:pPr>
        <w:numPr>
          <w:ilvl w:val="0"/>
          <w:numId w:val="8"/>
        </w:numPr>
        <w:ind w:left="720"/>
      </w:pPr>
      <w:r w:rsidRPr="00903541">
        <w:lastRenderedPageBreak/>
        <w:t xml:space="preserve">We use translators to enable us to deliver safe and effective care, which is important, as </w:t>
      </w:r>
      <w:r w:rsidR="00DB7050" w:rsidRPr="00903541">
        <w:t>several</w:t>
      </w:r>
      <w:r w:rsidRPr="00903541">
        <w:t xml:space="preserve"> languages are spoken within the diverse communities we serve. </w:t>
      </w:r>
    </w:p>
    <w:p w14:paraId="787912FF" w14:textId="77777777" w:rsidR="007E7C8F" w:rsidRPr="00903541" w:rsidRDefault="007E7C8F" w:rsidP="005F5331">
      <w:pPr>
        <w:ind w:left="720"/>
      </w:pPr>
    </w:p>
    <w:p w14:paraId="57DABA52" w14:textId="77777777" w:rsidR="008011E1" w:rsidRDefault="00903541" w:rsidP="008011E1">
      <w:pPr>
        <w:numPr>
          <w:ilvl w:val="0"/>
          <w:numId w:val="8"/>
        </w:numPr>
        <w:ind w:left="720"/>
      </w:pPr>
      <w:r w:rsidRPr="00903541">
        <w:t xml:space="preserve">King’s </w:t>
      </w:r>
      <w:r w:rsidRPr="003D08F4">
        <w:t xml:space="preserve">College Hospital has a private patients department, which treats patients from the UK and overseas. Some of the translations included in these figures would have been for private </w:t>
      </w:r>
      <w:r w:rsidR="00FA436D" w:rsidRPr="003D08F4">
        <w:t>patients who pay for their care, including written translation and interpretation.</w:t>
      </w:r>
    </w:p>
    <w:p w14:paraId="32C37F29" w14:textId="77777777" w:rsidR="00AE019E" w:rsidRDefault="00AE019E" w:rsidP="00AE019E">
      <w:pPr>
        <w:pStyle w:val="ListParagraph"/>
      </w:pPr>
    </w:p>
    <w:p w14:paraId="4BB67C18" w14:textId="4EC6AFD7" w:rsidR="00AE019E" w:rsidRPr="003D08F4" w:rsidRDefault="00AE019E" w:rsidP="008011E1">
      <w:pPr>
        <w:numPr>
          <w:ilvl w:val="0"/>
          <w:numId w:val="8"/>
        </w:numPr>
        <w:ind w:left="720"/>
      </w:pPr>
      <w:r>
        <w:t>We are unable to provide the cost of written translations after financial year 2021 /22 due to a change in reporting systems.</w:t>
      </w:r>
    </w:p>
    <w:p w14:paraId="75D24278" w14:textId="77777777" w:rsidR="008011E1" w:rsidRDefault="008011E1" w:rsidP="006816A5"/>
    <w:tbl>
      <w:tblPr>
        <w:tblW w:w="4325" w:type="pct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152"/>
        <w:gridCol w:w="1151"/>
        <w:gridCol w:w="1151"/>
        <w:gridCol w:w="1151"/>
        <w:gridCol w:w="1150"/>
      </w:tblGrid>
      <w:tr w:rsidR="006816A5" w:rsidRPr="00903541" w14:paraId="7EC25212" w14:textId="58B29131" w:rsidTr="006816A5">
        <w:trPr>
          <w:trHeight w:val="307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E10B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</w:p>
        </w:tc>
        <w:tc>
          <w:tcPr>
            <w:tcW w:w="345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5578F03F" w14:textId="0741687E" w:rsidR="006816A5" w:rsidRPr="00903541" w:rsidRDefault="006816A5" w:rsidP="006816A5">
            <w:pPr>
              <w:jc w:val="center"/>
              <w:rPr>
                <w:b/>
                <w:bCs/>
              </w:rPr>
            </w:pPr>
            <w:r w:rsidRPr="00903541">
              <w:rPr>
                <w:b/>
                <w:bCs/>
              </w:rPr>
              <w:t>Financial Year</w:t>
            </w:r>
          </w:p>
        </w:tc>
      </w:tr>
      <w:tr w:rsidR="006816A5" w:rsidRPr="00903541" w14:paraId="0259E0A0" w14:textId="3C9631FB" w:rsidTr="006816A5">
        <w:trPr>
          <w:trHeight w:val="307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7432" w14:textId="77777777" w:rsidR="006816A5" w:rsidRPr="00903541" w:rsidRDefault="006816A5" w:rsidP="00AE019E">
            <w:pPr>
              <w:jc w:val="center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58FD609" w14:textId="57A8CC4F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2020/21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A12E7F8" w14:textId="372010FA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2021/22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C001313" w14:textId="0CC7F33D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2022/23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919A3F2" w14:textId="29BE5A19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2023/24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9082F31" w14:textId="1197D356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2024/25</w:t>
            </w:r>
          </w:p>
        </w:tc>
      </w:tr>
      <w:tr w:rsidR="006816A5" w:rsidRPr="00903541" w14:paraId="719D799F" w14:textId="7A074FCD" w:rsidTr="006816A5">
        <w:trPr>
          <w:trHeight w:val="307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1132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Face-to-</w:t>
            </w:r>
            <w:r w:rsidRPr="00903541">
              <w:rPr>
                <w:b/>
                <w:bCs/>
              </w:rPr>
              <w:t>face</w:t>
            </w:r>
            <w:r>
              <w:rPr>
                <w:b/>
                <w:bCs/>
              </w:rPr>
              <w:t xml:space="preserve"> (F2F)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15E56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£55,382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CC9FA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£130,489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98788" w14:textId="40E71FB8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£174,881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BC24E" w14:textId="220C29AA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£127,313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8D65FC" w14:textId="10ED20C0" w:rsidR="006816A5" w:rsidRPr="00AE019E" w:rsidRDefault="000748C7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£89,444.87</w:t>
            </w:r>
          </w:p>
        </w:tc>
      </w:tr>
      <w:tr w:rsidR="006816A5" w:rsidRPr="00903541" w14:paraId="55589EBF" w14:textId="1C8E276D" w:rsidTr="006816A5">
        <w:trPr>
          <w:trHeight w:val="307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C811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  <w:r w:rsidRPr="00903541">
              <w:rPr>
                <w:b/>
                <w:bCs/>
              </w:rPr>
              <w:t>Telephone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61A2A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£127,143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6996D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£158,583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E2DDC" w14:textId="0C9A633B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£168,806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66A90" w14:textId="16A9763E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£197,551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8B40E4" w14:textId="3FCF9667" w:rsidR="006816A5" w:rsidRPr="00AE019E" w:rsidRDefault="000748C7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£244,454.37</w:t>
            </w:r>
          </w:p>
        </w:tc>
      </w:tr>
      <w:tr w:rsidR="006816A5" w:rsidRPr="00903541" w14:paraId="01EA8E73" w14:textId="3D451876" w:rsidTr="006816A5">
        <w:trPr>
          <w:trHeight w:val="61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1406" w14:textId="5E67C053" w:rsidR="006816A5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Video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DDECD64" w14:textId="77777777" w:rsidR="006816A5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477A54B6" w14:textId="73BD2AE6" w:rsidR="006816A5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0ACB9" w14:textId="7575E6E0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£56,887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F108C" w14:textId="6D633BFA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£66,344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C83219" w14:textId="67B44CE2" w:rsidR="006816A5" w:rsidRPr="00AE019E" w:rsidRDefault="000748C7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£82,779.91</w:t>
            </w:r>
          </w:p>
        </w:tc>
      </w:tr>
      <w:tr w:rsidR="006816A5" w:rsidRPr="00903541" w14:paraId="03A621ED" w14:textId="0136AAA6" w:rsidTr="006816A5">
        <w:trPr>
          <w:trHeight w:val="61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EF69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Written </w:t>
            </w:r>
            <w:r w:rsidRPr="00903541">
              <w:rPr>
                <w:b/>
                <w:bCs/>
              </w:rPr>
              <w:t>Translations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A1363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£8,110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66679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£9,485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552B8" w14:textId="63997E44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Not held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41C0E" w14:textId="3754A29F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Not held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3D534F" w14:textId="4E251C97" w:rsidR="006816A5" w:rsidRPr="00AE019E" w:rsidRDefault="000748C7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£10,629.05</w:t>
            </w:r>
          </w:p>
        </w:tc>
      </w:tr>
      <w:tr w:rsidR="006816A5" w:rsidRPr="00903541" w14:paraId="61023DD7" w14:textId="30B1CF99" w:rsidTr="006816A5">
        <w:trPr>
          <w:trHeight w:val="307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3F37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British Sign Language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BB1D0" w14:textId="72D1915B" w:rsidR="006816A5" w:rsidRPr="00E14622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622">
              <w:rPr>
                <w:rFonts w:ascii="Calibri" w:hAnsi="Calibri" w:cs="Calibri"/>
                <w:color w:val="000000"/>
              </w:rPr>
              <w:t>£40,261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14789" w14:textId="723D21DB" w:rsidR="006816A5" w:rsidRPr="00E14622" w:rsidRDefault="006816A5" w:rsidP="006816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622">
              <w:rPr>
                <w:rFonts w:ascii="Calibri" w:hAnsi="Calibri" w:cs="Calibri"/>
                <w:color w:val="000000"/>
              </w:rPr>
              <w:t>£85,159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A5FAD" w14:textId="04BED2DC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£93,064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FC8C" w14:textId="5642035B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£92,226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75F404" w14:textId="308C1BC1" w:rsidR="006816A5" w:rsidRPr="00AE019E" w:rsidRDefault="00165FE5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£96,040.20</w:t>
            </w:r>
          </w:p>
        </w:tc>
      </w:tr>
      <w:tr w:rsidR="006816A5" w:rsidRPr="00903541" w14:paraId="0443165D" w14:textId="381F0DF7" w:rsidTr="006816A5">
        <w:trPr>
          <w:trHeight w:val="307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509A" w14:textId="77777777" w:rsidR="006816A5" w:rsidRPr="00903541" w:rsidRDefault="006816A5" w:rsidP="00AE019E">
            <w:pPr>
              <w:jc w:val="center"/>
              <w:rPr>
                <w:b/>
                <w:bCs/>
              </w:rPr>
            </w:pPr>
            <w:r w:rsidRPr="00903541">
              <w:rPr>
                <w:b/>
                <w:bCs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E6B3F4C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£256,397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36852F2" w14:textId="77777777" w:rsidR="006816A5" w:rsidRPr="00646AA6" w:rsidRDefault="006816A5" w:rsidP="00AE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£383,717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3323407" w14:textId="45A5A978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£493,638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99D1D04" w14:textId="12DE5C7F" w:rsidR="006816A5" w:rsidRPr="00AE019E" w:rsidRDefault="006816A5" w:rsidP="00AE019E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£483,434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1A678A06" w14:textId="632F2854" w:rsidR="006816A5" w:rsidRPr="00AE019E" w:rsidRDefault="00165FE5" w:rsidP="00AE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£523,348.40</w:t>
            </w:r>
          </w:p>
        </w:tc>
      </w:tr>
    </w:tbl>
    <w:p w14:paraId="1CBD986C" w14:textId="77777777" w:rsidR="00EA3E31" w:rsidRPr="008011E1" w:rsidRDefault="00EA3E31" w:rsidP="008011E1">
      <w:pPr>
        <w:spacing w:after="160" w:line="252" w:lineRule="auto"/>
        <w:contextualSpacing/>
        <w:rPr>
          <w:b/>
        </w:rPr>
      </w:pPr>
    </w:p>
    <w:p w14:paraId="308D2846" w14:textId="77777777" w:rsidR="00B400CF" w:rsidRDefault="00B400CF" w:rsidP="005F5331">
      <w:pPr>
        <w:pStyle w:val="gmail-msolistparagraph"/>
        <w:numPr>
          <w:ilvl w:val="0"/>
          <w:numId w:val="15"/>
        </w:numPr>
        <w:spacing w:before="0" w:beforeAutospacing="0" w:after="0" w:afterAutospacing="0" w:line="254" w:lineRule="auto"/>
        <w:rPr>
          <w:rFonts w:ascii="Calibri" w:hAnsi="Calibri" w:cs="Calibri"/>
          <w:b/>
          <w:sz w:val="22"/>
          <w:szCs w:val="22"/>
        </w:rPr>
      </w:pPr>
      <w:r w:rsidRPr="007F3854">
        <w:rPr>
          <w:rFonts w:ascii="Calibri" w:hAnsi="Calibri" w:cs="Calibri"/>
          <w:b/>
          <w:sz w:val="22"/>
          <w:szCs w:val="22"/>
        </w:rPr>
        <w:t xml:space="preserve">How many requests for interpreting and written translations have you had for had for the last full financial years? </w:t>
      </w:r>
    </w:p>
    <w:p w14:paraId="324ED262" w14:textId="77777777" w:rsidR="003A73F9" w:rsidRDefault="003A73F9" w:rsidP="003A73F9">
      <w:pPr>
        <w:pStyle w:val="gmail-msolistparagraph"/>
        <w:spacing w:before="0" w:beforeAutospacing="0" w:after="0" w:afterAutospacing="0" w:line="254" w:lineRule="auto"/>
        <w:ind w:left="360"/>
        <w:rPr>
          <w:rFonts w:ascii="Calibri" w:hAnsi="Calibri" w:cs="Calibri"/>
          <w:b/>
          <w:sz w:val="22"/>
          <w:szCs w:val="22"/>
        </w:rPr>
      </w:pPr>
    </w:p>
    <w:p w14:paraId="14E9C1FC" w14:textId="77777777" w:rsidR="003A73F9" w:rsidRPr="00EC45C2" w:rsidRDefault="003A73F9" w:rsidP="003A73F9">
      <w:pPr>
        <w:pStyle w:val="gmail-msolistparagraph"/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EC45C2">
        <w:rPr>
          <w:rFonts w:asciiTheme="minorHAnsi" w:hAnsiTheme="minorHAnsi" w:cstheme="minorHAnsi"/>
          <w:sz w:val="22"/>
          <w:szCs w:val="22"/>
          <w:u w:val="single"/>
        </w:rPr>
        <w:t>Please note:</w:t>
      </w:r>
    </w:p>
    <w:p w14:paraId="3A302C22" w14:textId="4FB43BAB" w:rsidR="003D08F4" w:rsidRPr="00EC45C2" w:rsidRDefault="004D6F15" w:rsidP="00AE019E">
      <w:pPr>
        <w:pStyle w:val="gmail-msolistparagraph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5C2">
        <w:rPr>
          <w:rFonts w:asciiTheme="minorHAnsi" w:hAnsiTheme="minorHAnsi" w:cstheme="minorHAnsi"/>
          <w:sz w:val="22"/>
          <w:szCs w:val="22"/>
        </w:rPr>
        <w:t xml:space="preserve">The increase in telephone </w:t>
      </w:r>
      <w:r w:rsidR="00FB5393" w:rsidRPr="00EC45C2">
        <w:rPr>
          <w:rFonts w:asciiTheme="minorHAnsi" w:hAnsiTheme="minorHAnsi" w:cstheme="minorHAnsi"/>
          <w:sz w:val="22"/>
          <w:szCs w:val="22"/>
        </w:rPr>
        <w:t>translations for financial year</w:t>
      </w:r>
      <w:r w:rsidR="003D08F4" w:rsidRPr="00EC45C2">
        <w:rPr>
          <w:rFonts w:asciiTheme="minorHAnsi" w:hAnsiTheme="minorHAnsi" w:cstheme="minorHAnsi"/>
          <w:sz w:val="22"/>
          <w:szCs w:val="22"/>
        </w:rPr>
        <w:t>s</w:t>
      </w:r>
      <w:r w:rsidR="00FB5393" w:rsidRPr="00EC45C2">
        <w:rPr>
          <w:rFonts w:asciiTheme="minorHAnsi" w:hAnsiTheme="minorHAnsi" w:cstheme="minorHAnsi"/>
          <w:sz w:val="22"/>
          <w:szCs w:val="22"/>
        </w:rPr>
        <w:t xml:space="preserve"> </w:t>
      </w:r>
      <w:r w:rsidR="003D08F4" w:rsidRPr="00EC45C2">
        <w:rPr>
          <w:rFonts w:asciiTheme="minorHAnsi" w:hAnsiTheme="minorHAnsi" w:cstheme="minorHAnsi"/>
          <w:sz w:val="22"/>
          <w:szCs w:val="22"/>
        </w:rPr>
        <w:t xml:space="preserve">2020 /21 and </w:t>
      </w:r>
      <w:r w:rsidR="00FB5393" w:rsidRPr="00EC45C2">
        <w:rPr>
          <w:rFonts w:asciiTheme="minorHAnsi" w:hAnsiTheme="minorHAnsi" w:cstheme="minorHAnsi"/>
          <w:sz w:val="22"/>
          <w:szCs w:val="22"/>
        </w:rPr>
        <w:t>2021 /22, is due to most face-to-face appointments being changed to telephone consultations d</w:t>
      </w:r>
      <w:r w:rsidRPr="00EC45C2">
        <w:rPr>
          <w:rFonts w:asciiTheme="minorHAnsi" w:hAnsiTheme="minorHAnsi" w:cstheme="minorHAnsi"/>
          <w:sz w:val="22"/>
          <w:szCs w:val="22"/>
        </w:rPr>
        <w:t>uring the Covid-19 pandemic</w:t>
      </w:r>
      <w:r w:rsidR="00FB5393" w:rsidRPr="00EC45C2">
        <w:rPr>
          <w:rFonts w:asciiTheme="minorHAnsi" w:hAnsiTheme="minorHAnsi" w:cstheme="minorHAnsi"/>
          <w:sz w:val="22"/>
          <w:szCs w:val="22"/>
        </w:rPr>
        <w:t>.</w:t>
      </w:r>
      <w:r w:rsidR="003D08F4" w:rsidRPr="00EC45C2">
        <w:rPr>
          <w:rFonts w:asciiTheme="minorHAnsi" w:hAnsiTheme="minorHAnsi" w:cstheme="minorHAnsi"/>
          <w:sz w:val="22"/>
          <w:szCs w:val="22"/>
        </w:rPr>
        <w:t xml:space="preserve"> The majority of departments did not have many face-to-face appointments during the peaks of the pandemic as staff were deployed to other roles to help manage Covid cases.</w:t>
      </w:r>
    </w:p>
    <w:p w14:paraId="6519DBD5" w14:textId="77777777" w:rsidR="003D08F4" w:rsidRPr="00EC45C2" w:rsidRDefault="003D08F4" w:rsidP="003D08F4">
      <w:pPr>
        <w:pStyle w:val="gmail-msolistparagraph"/>
        <w:spacing w:before="0" w:beforeAutospacing="0" w:after="0" w:afterAutospacing="0"/>
        <w:ind w:left="357"/>
        <w:rPr>
          <w:rFonts w:asciiTheme="minorHAnsi" w:hAnsiTheme="minorHAnsi" w:cstheme="minorHAnsi"/>
          <w:sz w:val="22"/>
          <w:szCs w:val="22"/>
        </w:rPr>
      </w:pPr>
    </w:p>
    <w:p w14:paraId="2C135F29" w14:textId="75FD7B0E" w:rsidR="003D08F4" w:rsidRDefault="003D08F4" w:rsidP="00AE019E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EC45C2">
        <w:rPr>
          <w:rFonts w:asciiTheme="minorHAnsi" w:hAnsiTheme="minorHAnsi" w:cstheme="minorHAnsi"/>
          <w:sz w:val="22"/>
          <w:szCs w:val="22"/>
        </w:rPr>
        <w:t xml:space="preserve">Following the pandemic peaks, there was a backlog in most departments. In order to deal with this </w:t>
      </w:r>
      <w:r w:rsidR="00DB7050" w:rsidRPr="00EC45C2">
        <w:rPr>
          <w:rFonts w:asciiTheme="minorHAnsi" w:hAnsiTheme="minorHAnsi" w:cstheme="minorHAnsi"/>
          <w:sz w:val="22"/>
          <w:szCs w:val="22"/>
        </w:rPr>
        <w:t>backlog,</w:t>
      </w:r>
      <w:r w:rsidRPr="00EC45C2">
        <w:rPr>
          <w:rFonts w:asciiTheme="minorHAnsi" w:hAnsiTheme="minorHAnsi" w:cstheme="minorHAnsi"/>
          <w:sz w:val="22"/>
          <w:szCs w:val="22"/>
        </w:rPr>
        <w:t xml:space="preserve"> the number of phone consultations being conducted was increased.</w:t>
      </w:r>
      <w:r w:rsidRPr="003D08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EA88E" w14:textId="77777777" w:rsidR="00AE019E" w:rsidRDefault="00AE019E" w:rsidP="00AE019E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B785BEF" w14:textId="34D9F69B" w:rsidR="00AE019E" w:rsidRPr="00AE019E" w:rsidRDefault="00AE019E" w:rsidP="00AE019E">
      <w:pPr>
        <w:numPr>
          <w:ilvl w:val="0"/>
          <w:numId w:val="18"/>
        </w:numPr>
      </w:pPr>
      <w:r>
        <w:t>We are unable to provide the cost of written translations after financial year 2021 /22 due to a change in reporting systems.</w:t>
      </w:r>
    </w:p>
    <w:p w14:paraId="7ABE9D12" w14:textId="77777777" w:rsidR="00B400CF" w:rsidRDefault="00B400CF" w:rsidP="00492C44">
      <w:pPr>
        <w:spacing w:after="160" w:line="252" w:lineRule="auto"/>
        <w:contextualSpacing/>
        <w:rPr>
          <w:b/>
        </w:rPr>
      </w:pPr>
    </w:p>
    <w:tbl>
      <w:tblPr>
        <w:tblW w:w="4663" w:type="pct"/>
        <w:tblInd w:w="4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032"/>
        <w:gridCol w:w="1032"/>
        <w:gridCol w:w="1487"/>
        <w:gridCol w:w="1292"/>
        <w:gridCol w:w="1292"/>
      </w:tblGrid>
      <w:tr w:rsidR="006816A5" w:rsidRPr="00903541" w14:paraId="73D9AB5C" w14:textId="28E0938F" w:rsidTr="006816A5">
        <w:trPr>
          <w:trHeight w:val="313"/>
        </w:trPr>
        <w:tc>
          <w:tcPr>
            <w:tcW w:w="1581" w:type="pct"/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A58F" w14:textId="77777777" w:rsidR="006816A5" w:rsidRPr="00903541" w:rsidRDefault="006816A5" w:rsidP="00561FC7">
            <w:pPr>
              <w:jc w:val="center"/>
              <w:rPr>
                <w:b/>
                <w:bCs/>
              </w:rPr>
            </w:pPr>
          </w:p>
        </w:tc>
        <w:tc>
          <w:tcPr>
            <w:tcW w:w="3419" w:type="pct"/>
            <w:gridSpan w:val="5"/>
            <w:shd w:val="clear" w:color="auto" w:fill="808080"/>
          </w:tcPr>
          <w:p w14:paraId="4A899E14" w14:textId="75AB27C7" w:rsidR="006816A5" w:rsidRPr="00903541" w:rsidRDefault="006816A5" w:rsidP="009140BE">
            <w:pPr>
              <w:jc w:val="center"/>
              <w:rPr>
                <w:b/>
                <w:bCs/>
              </w:rPr>
            </w:pPr>
            <w:r w:rsidRPr="00903541">
              <w:rPr>
                <w:b/>
                <w:bCs/>
              </w:rPr>
              <w:t>Financial Year</w:t>
            </w:r>
          </w:p>
        </w:tc>
      </w:tr>
      <w:tr w:rsidR="006816A5" w:rsidRPr="00903541" w14:paraId="5D0726B1" w14:textId="29FBC5DC" w:rsidTr="006816A5">
        <w:trPr>
          <w:trHeight w:val="210"/>
        </w:trPr>
        <w:tc>
          <w:tcPr>
            <w:tcW w:w="1581" w:type="pct"/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E422" w14:textId="77777777" w:rsidR="006816A5" w:rsidRPr="00903541" w:rsidRDefault="006816A5" w:rsidP="00561FC7">
            <w:pPr>
              <w:jc w:val="center"/>
            </w:pPr>
          </w:p>
        </w:tc>
        <w:tc>
          <w:tcPr>
            <w:tcW w:w="575" w:type="pct"/>
            <w:shd w:val="clear" w:color="auto" w:fill="A6A6A6"/>
          </w:tcPr>
          <w:p w14:paraId="7C0EE843" w14:textId="036C0EA2" w:rsidR="006816A5" w:rsidRDefault="006816A5" w:rsidP="00561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2020/21</w:t>
            </w:r>
          </w:p>
        </w:tc>
        <w:tc>
          <w:tcPr>
            <w:tcW w:w="575" w:type="pct"/>
            <w:shd w:val="clear" w:color="auto" w:fill="A6A6A6"/>
          </w:tcPr>
          <w:p w14:paraId="62F14594" w14:textId="637A0A2E" w:rsidR="006816A5" w:rsidRDefault="006816A5" w:rsidP="00561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2021/22</w:t>
            </w:r>
          </w:p>
        </w:tc>
        <w:tc>
          <w:tcPr>
            <w:tcW w:w="829" w:type="pct"/>
            <w:shd w:val="clear" w:color="auto" w:fill="A6A6A6"/>
          </w:tcPr>
          <w:p w14:paraId="302D7C02" w14:textId="2F3E767E" w:rsidR="006816A5" w:rsidRDefault="006816A5" w:rsidP="00561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2022/23</w:t>
            </w:r>
          </w:p>
        </w:tc>
        <w:tc>
          <w:tcPr>
            <w:tcW w:w="720" w:type="pct"/>
            <w:shd w:val="clear" w:color="auto" w:fill="A6A6A6"/>
          </w:tcPr>
          <w:p w14:paraId="7BBB814D" w14:textId="21854B95" w:rsidR="006816A5" w:rsidRDefault="006816A5" w:rsidP="00561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2023/24</w:t>
            </w:r>
          </w:p>
        </w:tc>
        <w:tc>
          <w:tcPr>
            <w:tcW w:w="720" w:type="pct"/>
            <w:shd w:val="clear" w:color="auto" w:fill="A6A6A6"/>
          </w:tcPr>
          <w:p w14:paraId="3AE24038" w14:textId="2DE1AC81" w:rsidR="006816A5" w:rsidRDefault="006816A5" w:rsidP="00561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2024/25</w:t>
            </w:r>
          </w:p>
        </w:tc>
      </w:tr>
      <w:tr w:rsidR="006816A5" w:rsidRPr="0023089B" w14:paraId="7266E22B" w14:textId="14C68022" w:rsidTr="006816A5">
        <w:trPr>
          <w:trHeight w:val="330"/>
        </w:trPr>
        <w:tc>
          <w:tcPr>
            <w:tcW w:w="1581" w:type="pct"/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2BAA" w14:textId="77777777" w:rsidR="006816A5" w:rsidRPr="00903541" w:rsidRDefault="006816A5" w:rsidP="00914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Face-to-</w:t>
            </w:r>
            <w:r w:rsidRPr="00903541">
              <w:rPr>
                <w:b/>
                <w:bCs/>
              </w:rPr>
              <w:t>face</w:t>
            </w:r>
            <w:r>
              <w:rPr>
                <w:b/>
                <w:bCs/>
              </w:rPr>
              <w:t xml:space="preserve"> (F2F)</w:t>
            </w:r>
          </w:p>
        </w:tc>
        <w:tc>
          <w:tcPr>
            <w:tcW w:w="575" w:type="pct"/>
          </w:tcPr>
          <w:p w14:paraId="26D93684" w14:textId="745D3095" w:rsidR="006816A5" w:rsidRPr="00A61DB5" w:rsidRDefault="006816A5" w:rsidP="00EA3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1,463</w:t>
            </w:r>
          </w:p>
        </w:tc>
        <w:tc>
          <w:tcPr>
            <w:tcW w:w="575" w:type="pct"/>
          </w:tcPr>
          <w:p w14:paraId="760D2C3C" w14:textId="361DB9D8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3,520</w:t>
            </w:r>
          </w:p>
        </w:tc>
        <w:tc>
          <w:tcPr>
            <w:tcW w:w="829" w:type="pct"/>
          </w:tcPr>
          <w:p w14:paraId="4D0C6AA7" w14:textId="7E7C2F12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3,327</w:t>
            </w:r>
          </w:p>
        </w:tc>
        <w:tc>
          <w:tcPr>
            <w:tcW w:w="720" w:type="pct"/>
          </w:tcPr>
          <w:p w14:paraId="6A9E22B4" w14:textId="39632ECE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2,848</w:t>
            </w:r>
          </w:p>
        </w:tc>
        <w:tc>
          <w:tcPr>
            <w:tcW w:w="720" w:type="pct"/>
          </w:tcPr>
          <w:p w14:paraId="1E2E5F63" w14:textId="62D553A9" w:rsidR="006816A5" w:rsidRPr="00AE019E" w:rsidRDefault="000748C7" w:rsidP="00801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3,108</w:t>
            </w:r>
          </w:p>
        </w:tc>
      </w:tr>
      <w:tr w:rsidR="006816A5" w:rsidRPr="00903541" w14:paraId="6729A496" w14:textId="740E13EE" w:rsidTr="006816A5">
        <w:trPr>
          <w:trHeight w:val="332"/>
        </w:trPr>
        <w:tc>
          <w:tcPr>
            <w:tcW w:w="1581" w:type="pct"/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8CDF" w14:textId="77777777" w:rsidR="006816A5" w:rsidRPr="00903541" w:rsidRDefault="006816A5" w:rsidP="009140BE">
            <w:pPr>
              <w:jc w:val="center"/>
              <w:rPr>
                <w:b/>
                <w:bCs/>
              </w:rPr>
            </w:pPr>
            <w:r w:rsidRPr="00903541">
              <w:rPr>
                <w:b/>
                <w:bCs/>
              </w:rPr>
              <w:t>Telephone</w:t>
            </w:r>
          </w:p>
        </w:tc>
        <w:tc>
          <w:tcPr>
            <w:tcW w:w="575" w:type="pct"/>
          </w:tcPr>
          <w:p w14:paraId="538E2BAE" w14:textId="591653A2" w:rsidR="006816A5" w:rsidRPr="008011E1" w:rsidRDefault="006816A5" w:rsidP="008011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14,559</w:t>
            </w:r>
          </w:p>
        </w:tc>
        <w:tc>
          <w:tcPr>
            <w:tcW w:w="575" w:type="pct"/>
          </w:tcPr>
          <w:p w14:paraId="102E9C2A" w14:textId="3431A6F2" w:rsidR="006816A5" w:rsidRPr="00AE019E" w:rsidRDefault="006816A5" w:rsidP="00E14622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17,640</w:t>
            </w:r>
          </w:p>
        </w:tc>
        <w:tc>
          <w:tcPr>
            <w:tcW w:w="829" w:type="pct"/>
          </w:tcPr>
          <w:p w14:paraId="554C5099" w14:textId="597671D4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20,535</w:t>
            </w:r>
          </w:p>
        </w:tc>
        <w:tc>
          <w:tcPr>
            <w:tcW w:w="720" w:type="pct"/>
          </w:tcPr>
          <w:p w14:paraId="35D719F5" w14:textId="35EB31FF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23,144</w:t>
            </w:r>
          </w:p>
        </w:tc>
        <w:tc>
          <w:tcPr>
            <w:tcW w:w="720" w:type="pct"/>
          </w:tcPr>
          <w:p w14:paraId="5B1F8FCA" w14:textId="5B8670CB" w:rsidR="006816A5" w:rsidRPr="00AE019E" w:rsidRDefault="000748C7" w:rsidP="00801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29,228</w:t>
            </w:r>
          </w:p>
        </w:tc>
      </w:tr>
      <w:tr w:rsidR="006816A5" w:rsidRPr="00903541" w14:paraId="7A240FC2" w14:textId="64DC1BD0" w:rsidTr="006816A5">
        <w:trPr>
          <w:trHeight w:val="210"/>
        </w:trPr>
        <w:tc>
          <w:tcPr>
            <w:tcW w:w="1581" w:type="pct"/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CC04" w14:textId="1A320C43" w:rsidR="006816A5" w:rsidRDefault="006816A5" w:rsidP="00914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Video</w:t>
            </w:r>
          </w:p>
        </w:tc>
        <w:tc>
          <w:tcPr>
            <w:tcW w:w="575" w:type="pct"/>
            <w:shd w:val="clear" w:color="auto" w:fill="808080" w:themeFill="background1" w:themeFillShade="80"/>
          </w:tcPr>
          <w:p w14:paraId="240D5825" w14:textId="77777777" w:rsidR="006816A5" w:rsidRDefault="006816A5" w:rsidP="008011E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5" w:type="pct"/>
            <w:shd w:val="clear" w:color="auto" w:fill="808080" w:themeFill="background1" w:themeFillShade="80"/>
          </w:tcPr>
          <w:p w14:paraId="2EFB57F6" w14:textId="752C070F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9" w:type="pct"/>
          </w:tcPr>
          <w:p w14:paraId="7B6A4E02" w14:textId="1939F71C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3,664</w:t>
            </w:r>
          </w:p>
        </w:tc>
        <w:tc>
          <w:tcPr>
            <w:tcW w:w="720" w:type="pct"/>
          </w:tcPr>
          <w:p w14:paraId="383F942B" w14:textId="2E97BC60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4,108</w:t>
            </w:r>
          </w:p>
        </w:tc>
        <w:tc>
          <w:tcPr>
            <w:tcW w:w="720" w:type="pct"/>
          </w:tcPr>
          <w:p w14:paraId="6B23D5D3" w14:textId="7BF4869E" w:rsidR="006816A5" w:rsidRPr="00AE019E" w:rsidRDefault="000748C7" w:rsidP="00801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5,292</w:t>
            </w:r>
          </w:p>
        </w:tc>
      </w:tr>
      <w:tr w:rsidR="006816A5" w:rsidRPr="00903541" w14:paraId="48E8293D" w14:textId="58CEE2A2" w:rsidTr="006816A5">
        <w:trPr>
          <w:trHeight w:val="210"/>
        </w:trPr>
        <w:tc>
          <w:tcPr>
            <w:tcW w:w="1581" w:type="pct"/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0A93" w14:textId="77777777" w:rsidR="006816A5" w:rsidRPr="00903541" w:rsidRDefault="006816A5" w:rsidP="00914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Written </w:t>
            </w:r>
            <w:r w:rsidRPr="00903541">
              <w:rPr>
                <w:b/>
                <w:bCs/>
              </w:rPr>
              <w:t>Translations</w:t>
            </w:r>
          </w:p>
        </w:tc>
        <w:tc>
          <w:tcPr>
            <w:tcW w:w="575" w:type="pct"/>
          </w:tcPr>
          <w:p w14:paraId="30A3E7F1" w14:textId="77777777" w:rsidR="006816A5" w:rsidRPr="008011E1" w:rsidRDefault="006816A5" w:rsidP="008011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75" w:type="pct"/>
          </w:tcPr>
          <w:p w14:paraId="1B05CF23" w14:textId="77777777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23</w:t>
            </w:r>
          </w:p>
        </w:tc>
        <w:tc>
          <w:tcPr>
            <w:tcW w:w="829" w:type="pct"/>
          </w:tcPr>
          <w:p w14:paraId="46E618CD" w14:textId="5B031817" w:rsidR="006816A5" w:rsidRPr="00AE019E" w:rsidRDefault="006816A5" w:rsidP="00C9694A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>Not held</w:t>
            </w:r>
          </w:p>
        </w:tc>
        <w:tc>
          <w:tcPr>
            <w:tcW w:w="720" w:type="pct"/>
          </w:tcPr>
          <w:p w14:paraId="132AF288" w14:textId="624D8A97" w:rsidR="006816A5" w:rsidRPr="00AE019E" w:rsidRDefault="006816A5" w:rsidP="008011E1">
            <w:pPr>
              <w:jc w:val="center"/>
              <w:rPr>
                <w:rFonts w:ascii="Calibri" w:hAnsi="Calibri" w:cs="Calibri"/>
              </w:rPr>
            </w:pPr>
            <w:r w:rsidRPr="00AE019E">
              <w:rPr>
                <w:rFonts w:ascii="Calibri" w:hAnsi="Calibri" w:cs="Calibri"/>
              </w:rPr>
              <w:t xml:space="preserve">Not held </w:t>
            </w:r>
          </w:p>
        </w:tc>
        <w:tc>
          <w:tcPr>
            <w:tcW w:w="720" w:type="pct"/>
          </w:tcPr>
          <w:p w14:paraId="13D938BF" w14:textId="368C59B0" w:rsidR="006816A5" w:rsidRPr="00AE019E" w:rsidRDefault="000748C7" w:rsidP="00801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held</w:t>
            </w:r>
          </w:p>
        </w:tc>
      </w:tr>
      <w:tr w:rsidR="006816A5" w:rsidRPr="00903541" w14:paraId="354EA810" w14:textId="0F62AD57" w:rsidTr="006816A5">
        <w:trPr>
          <w:trHeight w:val="313"/>
        </w:trPr>
        <w:tc>
          <w:tcPr>
            <w:tcW w:w="1581" w:type="pct"/>
            <w:shd w:val="clear" w:color="auto" w:fill="F2DBDB" w:themeFill="accen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D37E" w14:textId="77777777" w:rsidR="006816A5" w:rsidRPr="00903541" w:rsidRDefault="006816A5" w:rsidP="00914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British Sign Language</w:t>
            </w:r>
          </w:p>
        </w:tc>
        <w:tc>
          <w:tcPr>
            <w:tcW w:w="575" w:type="pct"/>
          </w:tcPr>
          <w:p w14:paraId="1A18D628" w14:textId="0E9FFB9E" w:rsidR="006816A5" w:rsidRPr="00A61DB5" w:rsidRDefault="006816A5" w:rsidP="00EA3E31">
            <w:pPr>
              <w:jc w:val="center"/>
              <w:rPr>
                <w:highlight w:val="yellow"/>
              </w:rPr>
            </w:pPr>
            <w:r w:rsidRPr="00E14622">
              <w:t>255</w:t>
            </w:r>
          </w:p>
        </w:tc>
        <w:tc>
          <w:tcPr>
            <w:tcW w:w="575" w:type="pct"/>
          </w:tcPr>
          <w:p w14:paraId="45DC73AE" w14:textId="75CA6D82" w:rsidR="006816A5" w:rsidRPr="00AE019E" w:rsidRDefault="006816A5" w:rsidP="00EA3E31">
            <w:pPr>
              <w:jc w:val="center"/>
              <w:rPr>
                <w:highlight w:val="yellow"/>
              </w:rPr>
            </w:pPr>
            <w:r w:rsidRPr="00AE019E">
              <w:t xml:space="preserve">537 </w:t>
            </w:r>
          </w:p>
        </w:tc>
        <w:tc>
          <w:tcPr>
            <w:tcW w:w="829" w:type="pct"/>
          </w:tcPr>
          <w:p w14:paraId="665B1551" w14:textId="7F961A49" w:rsidR="006816A5" w:rsidRPr="00AE019E" w:rsidRDefault="006816A5" w:rsidP="00EA3E31">
            <w:pPr>
              <w:jc w:val="center"/>
            </w:pPr>
            <w:r w:rsidRPr="00AE019E">
              <w:t>599</w:t>
            </w:r>
          </w:p>
        </w:tc>
        <w:tc>
          <w:tcPr>
            <w:tcW w:w="720" w:type="pct"/>
          </w:tcPr>
          <w:p w14:paraId="2DAF9FBC" w14:textId="292564A8" w:rsidR="006816A5" w:rsidRPr="00AE019E" w:rsidRDefault="006816A5" w:rsidP="00EA3E31">
            <w:pPr>
              <w:jc w:val="center"/>
            </w:pPr>
            <w:r w:rsidRPr="00AE019E">
              <w:t>575</w:t>
            </w:r>
          </w:p>
        </w:tc>
        <w:tc>
          <w:tcPr>
            <w:tcW w:w="720" w:type="pct"/>
          </w:tcPr>
          <w:p w14:paraId="57A08DB0" w14:textId="561E9846" w:rsidR="006816A5" w:rsidRPr="00AE019E" w:rsidRDefault="002A3140" w:rsidP="00EA3E31">
            <w:pPr>
              <w:jc w:val="center"/>
            </w:pPr>
            <w:r>
              <w:t>552</w:t>
            </w:r>
          </w:p>
        </w:tc>
      </w:tr>
    </w:tbl>
    <w:p w14:paraId="25923D17" w14:textId="77777777" w:rsidR="005F5331" w:rsidRPr="00284067" w:rsidRDefault="005F5331" w:rsidP="00492C44">
      <w:pPr>
        <w:spacing w:after="160" w:line="252" w:lineRule="auto"/>
        <w:contextualSpacing/>
        <w:rPr>
          <w:b/>
        </w:rPr>
      </w:pPr>
    </w:p>
    <w:p w14:paraId="763E5592" w14:textId="77777777" w:rsidR="005F5331" w:rsidRDefault="00A63D2A" w:rsidP="009140BE">
      <w:pPr>
        <w:pStyle w:val="ListParagraph"/>
        <w:numPr>
          <w:ilvl w:val="0"/>
          <w:numId w:val="15"/>
        </w:numPr>
        <w:rPr>
          <w:rFonts w:cs="Calibri"/>
          <w:b/>
        </w:rPr>
      </w:pPr>
      <w:r w:rsidRPr="00284067">
        <w:rPr>
          <w:rFonts w:cs="Calibri"/>
          <w:b/>
        </w:rPr>
        <w:lastRenderedPageBreak/>
        <w:t xml:space="preserve">Are you providing video interpreting services?  How </w:t>
      </w:r>
      <w:r w:rsidR="009140BE" w:rsidRPr="00284067">
        <w:rPr>
          <w:rFonts w:cs="Calibri"/>
          <w:b/>
        </w:rPr>
        <w:t xml:space="preserve">is </w:t>
      </w:r>
      <w:r w:rsidR="005F5331" w:rsidRPr="00284067">
        <w:rPr>
          <w:rFonts w:cs="Calibri"/>
          <w:b/>
        </w:rPr>
        <w:t>this being provided</w:t>
      </w:r>
      <w:r w:rsidR="009140BE" w:rsidRPr="00284067">
        <w:rPr>
          <w:rFonts w:cs="Calibri"/>
          <w:b/>
        </w:rPr>
        <w:t>;</w:t>
      </w:r>
      <w:r w:rsidR="005F5331" w:rsidRPr="00284067">
        <w:rPr>
          <w:rFonts w:cs="Calibri"/>
          <w:b/>
        </w:rPr>
        <w:t xml:space="preserve"> and </w:t>
      </w:r>
      <w:r w:rsidR="009140BE" w:rsidRPr="00284067">
        <w:rPr>
          <w:rFonts w:cs="Calibri"/>
          <w:b/>
        </w:rPr>
        <w:t xml:space="preserve">what </w:t>
      </w:r>
      <w:r w:rsidRPr="00284067">
        <w:rPr>
          <w:rFonts w:cs="Calibri"/>
          <w:b/>
        </w:rPr>
        <w:t>are the costs per minute?</w:t>
      </w:r>
    </w:p>
    <w:p w14:paraId="6B9FED45" w14:textId="055F84FA" w:rsidR="00A63D2A" w:rsidRPr="00284067" w:rsidRDefault="00A63D2A" w:rsidP="005F5331">
      <w:pPr>
        <w:pStyle w:val="ListParagraph"/>
        <w:ind w:left="360"/>
        <w:rPr>
          <w:rFonts w:cs="Calibri"/>
          <w:b/>
        </w:rPr>
      </w:pPr>
      <w:r w:rsidRPr="00284067">
        <w:rPr>
          <w:rFonts w:cs="Calibri"/>
        </w:rPr>
        <w:t xml:space="preserve">Yes, </w:t>
      </w:r>
      <w:r w:rsidR="00587F62">
        <w:rPr>
          <w:rFonts w:cs="Calibri"/>
        </w:rPr>
        <w:t xml:space="preserve">we provide patients with audio interpreting which is pre-booked for the specific clinic.  In addition, we have </w:t>
      </w:r>
      <w:r w:rsidR="003A06E2">
        <w:rPr>
          <w:rFonts w:cs="Calibri"/>
        </w:rPr>
        <w:t xml:space="preserve">Interpreting on wheels units </w:t>
      </w:r>
      <w:r w:rsidR="00587F62">
        <w:rPr>
          <w:rFonts w:cs="Calibri"/>
        </w:rPr>
        <w:t>available and an Insight App for mobile devices</w:t>
      </w:r>
      <w:r w:rsidR="003A06E2">
        <w:rPr>
          <w:rFonts w:cs="Calibri"/>
        </w:rPr>
        <w:t>.</w:t>
      </w:r>
      <w:r w:rsidR="00587F62">
        <w:rPr>
          <w:rFonts w:cs="Calibri"/>
        </w:rPr>
        <w:t xml:space="preserve">  The units are not charged but the cost is commercially sensitive information. </w:t>
      </w:r>
    </w:p>
    <w:p w14:paraId="715E6002" w14:textId="26398F91" w:rsidR="005F5331" w:rsidRPr="00A63D2A" w:rsidRDefault="00587F62" w:rsidP="005F5331">
      <w:pPr>
        <w:ind w:left="36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 </w:t>
      </w:r>
    </w:p>
    <w:p w14:paraId="4C9614F4" w14:textId="77777777" w:rsidR="00721370" w:rsidRDefault="00721370" w:rsidP="005F5331">
      <w:pPr>
        <w:pStyle w:val="ListParagraph"/>
        <w:numPr>
          <w:ilvl w:val="0"/>
          <w:numId w:val="15"/>
        </w:numPr>
        <w:spacing w:line="252" w:lineRule="auto"/>
        <w:contextualSpacing/>
        <w:rPr>
          <w:b/>
        </w:rPr>
      </w:pPr>
      <w:r w:rsidRPr="005F5331">
        <w:rPr>
          <w:b/>
        </w:rPr>
        <w:t>How much your trust has spent on employing advocates for non-English speakers?</w:t>
      </w:r>
    </w:p>
    <w:p w14:paraId="34AEA198" w14:textId="77777777" w:rsidR="008011E1" w:rsidRPr="005F5331" w:rsidRDefault="008011E1" w:rsidP="008011E1">
      <w:pPr>
        <w:pStyle w:val="ListParagraph"/>
        <w:spacing w:line="252" w:lineRule="auto"/>
        <w:ind w:left="360"/>
        <w:contextualSpacing/>
        <w:rPr>
          <w:b/>
        </w:rPr>
      </w:pPr>
    </w:p>
    <w:p w14:paraId="2A7A0C9A" w14:textId="77777777" w:rsidR="0085067C" w:rsidRDefault="00721370" w:rsidP="005F5331">
      <w:pPr>
        <w:ind w:firstLine="360"/>
      </w:pPr>
      <w:r w:rsidRPr="004C5CD4">
        <w:t>Nothing.</w:t>
      </w:r>
      <w:r>
        <w:t xml:space="preserve"> The Trust does not employ advocates for non-English speakers.</w:t>
      </w:r>
    </w:p>
    <w:p w14:paraId="1C7B211F" w14:textId="77777777" w:rsidR="008C4E05" w:rsidRDefault="008C4E05" w:rsidP="006816A5"/>
    <w:p w14:paraId="3201D921" w14:textId="77777777" w:rsidR="005F5331" w:rsidRDefault="005F5331" w:rsidP="005F5331">
      <w:pPr>
        <w:pStyle w:val="ListParagraph"/>
        <w:numPr>
          <w:ilvl w:val="0"/>
          <w:numId w:val="15"/>
        </w:numPr>
        <w:contextualSpacing/>
        <w:rPr>
          <w:b/>
        </w:rPr>
      </w:pPr>
      <w:r w:rsidRPr="00A63D2A">
        <w:rPr>
          <w:b/>
        </w:rPr>
        <w:t xml:space="preserve">What training do interpreting services staff have, both before being hired and throughout their employment? </w:t>
      </w:r>
    </w:p>
    <w:p w14:paraId="0BF38AA7" w14:textId="77777777" w:rsidR="008011E1" w:rsidRDefault="008011E1" w:rsidP="008011E1">
      <w:pPr>
        <w:pStyle w:val="ListParagraph"/>
        <w:ind w:left="360"/>
        <w:contextualSpacing/>
        <w:rPr>
          <w:b/>
        </w:rPr>
      </w:pPr>
    </w:p>
    <w:p w14:paraId="191ADCF8" w14:textId="77777777" w:rsidR="005F5331" w:rsidRPr="00A63D2A" w:rsidRDefault="005F5331" w:rsidP="005F5331">
      <w:pPr>
        <w:pStyle w:val="ListParagraph"/>
        <w:ind w:left="360"/>
        <w:contextualSpacing/>
        <w:rPr>
          <w:b/>
        </w:rPr>
      </w:pPr>
      <w:r w:rsidRPr="00A63D2A">
        <w:rPr>
          <w:rFonts w:cs="Calibri"/>
        </w:rPr>
        <w:t xml:space="preserve">All interpreters used by the Trust have been tested, verified and security cleared by our supplier.  The supplier operates a rigorous recruitment and testing process. </w:t>
      </w:r>
    </w:p>
    <w:p w14:paraId="369BE7B1" w14:textId="77777777" w:rsidR="005F5331" w:rsidRPr="001E477F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</w:p>
    <w:p w14:paraId="176DD990" w14:textId="5869CE81" w:rsidR="00986177" w:rsidRDefault="005F5331" w:rsidP="00EC45C2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  <w:r w:rsidRPr="001E477F">
        <w:rPr>
          <w:rFonts w:ascii="Calibri" w:hAnsi="Calibri" w:cs="Calibri"/>
        </w:rPr>
        <w:t>Applicants are required to meet one or more of the below criteria or an equivalent</w:t>
      </w:r>
      <w:r>
        <w:rPr>
          <w:rFonts w:ascii="Calibri" w:hAnsi="Calibri" w:cs="Calibri"/>
        </w:rPr>
        <w:t xml:space="preserve"> </w:t>
      </w:r>
      <w:r w:rsidRPr="001E477F">
        <w:rPr>
          <w:rFonts w:ascii="Calibri" w:hAnsi="Calibri" w:cs="Calibri"/>
        </w:rPr>
        <w:t>in order to begin the face-to-face interpreter recruitment process:</w:t>
      </w:r>
    </w:p>
    <w:p w14:paraId="6C401598" w14:textId="77777777" w:rsidR="00986177" w:rsidRPr="001E477F" w:rsidRDefault="00986177" w:rsidP="005F5331">
      <w:pPr>
        <w:pStyle w:val="normaltext"/>
        <w:spacing w:before="0" w:after="0" w:line="240" w:lineRule="auto"/>
        <w:rPr>
          <w:rFonts w:ascii="Calibri" w:hAnsi="Calibri" w:cs="Calibri"/>
        </w:rPr>
      </w:pPr>
    </w:p>
    <w:p w14:paraId="71894F78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Hold an industry recognised accreditation, for example NRPSI (National Register of Public Sector Interpreters), DPSI (Diploma for Public Service Interpreting), Community Level Interpreting, Met Police Test</w:t>
      </w:r>
    </w:p>
    <w:p w14:paraId="3BBA941F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Be a full member of one of the leading associations such as the Institute of Translation and Interpreting (ITI) or Institute of Linguists (IoL)</w:t>
      </w:r>
    </w:p>
    <w:p w14:paraId="7FD147E5" w14:textId="77777777" w:rsidR="008011E1" w:rsidRPr="00986177" w:rsidRDefault="005F5331" w:rsidP="008011E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Hold a first or postgraduate degree (or equivalent academic qualification) in Interpreting</w:t>
      </w:r>
    </w:p>
    <w:p w14:paraId="1AC005D8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Hold a first or postgraduate degree in the relevant language</w:t>
      </w:r>
    </w:p>
    <w:p w14:paraId="53ACE770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Demonstrate at least two years of interpreting experience</w:t>
      </w:r>
    </w:p>
    <w:p w14:paraId="2B37A7D4" w14:textId="77777777" w:rsidR="005F5331" w:rsidRPr="00E1174D" w:rsidRDefault="005F5331" w:rsidP="005F5331">
      <w:pPr>
        <w:pStyle w:val="normaltext"/>
        <w:spacing w:before="0" w:after="0" w:line="240" w:lineRule="auto"/>
        <w:ind w:left="720"/>
        <w:rPr>
          <w:rFonts w:asciiTheme="minorHAnsi" w:hAnsiTheme="minorHAnsi" w:cstheme="minorHAnsi"/>
        </w:rPr>
      </w:pPr>
    </w:p>
    <w:p w14:paraId="112E3853" w14:textId="77777777" w:rsidR="005F5331" w:rsidRPr="00E1174D" w:rsidRDefault="005F5331" w:rsidP="005F5331">
      <w:pPr>
        <w:pStyle w:val="normaltext"/>
        <w:spacing w:before="0" w:after="0" w:line="240" w:lineRule="auto"/>
        <w:ind w:left="360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The supplier also ensures that all linguists:</w:t>
      </w:r>
    </w:p>
    <w:p w14:paraId="3533867E" w14:textId="77777777" w:rsidR="005F5331" w:rsidRPr="00E1174D" w:rsidRDefault="005F5331" w:rsidP="005F5331">
      <w:pPr>
        <w:pStyle w:val="normaltext"/>
        <w:spacing w:before="0" w:after="0" w:line="240" w:lineRule="auto"/>
        <w:ind w:left="360"/>
        <w:rPr>
          <w:rFonts w:asciiTheme="minorHAnsi" w:hAnsiTheme="minorHAnsi" w:cstheme="minorHAnsi"/>
        </w:rPr>
      </w:pPr>
    </w:p>
    <w:p w14:paraId="14BB6E69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Are native speakers of the target language where possible</w:t>
      </w:r>
    </w:p>
    <w:p w14:paraId="7587756D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Have demonstrated the ability to interpret into the mother tongue in a style and register appropriate to the subject</w:t>
      </w:r>
    </w:p>
    <w:p w14:paraId="68B0DB25" w14:textId="77777777" w:rsidR="005F5331" w:rsidRPr="00E1174D" w:rsidRDefault="005F5331" w:rsidP="005F5331">
      <w:pPr>
        <w:pStyle w:val="normalbullet"/>
        <w:tabs>
          <w:tab w:val="clear" w:pos="-108"/>
          <w:tab w:val="num" w:pos="252"/>
        </w:tabs>
        <w:ind w:left="786"/>
        <w:rPr>
          <w:rFonts w:asciiTheme="minorHAnsi" w:hAnsiTheme="minorHAnsi" w:cstheme="minorHAnsi"/>
          <w:b/>
        </w:rPr>
      </w:pPr>
      <w:r w:rsidRPr="00E1174D">
        <w:rPr>
          <w:rFonts w:asciiTheme="minorHAnsi" w:hAnsiTheme="minorHAnsi" w:cstheme="minorHAnsi"/>
        </w:rPr>
        <w:t>Possess a thorough knowledge of NHS and healthcare institutions, culture, attitude and practices and those of the target audience</w:t>
      </w:r>
    </w:p>
    <w:p w14:paraId="63D400B7" w14:textId="77777777" w:rsidR="005F5331" w:rsidRPr="00E1174D" w:rsidRDefault="005F5331" w:rsidP="005F5331">
      <w:pPr>
        <w:ind w:left="360"/>
        <w:rPr>
          <w:rFonts w:cstheme="minorHAnsi"/>
        </w:rPr>
      </w:pPr>
    </w:p>
    <w:p w14:paraId="572C6A5C" w14:textId="77777777" w:rsidR="005F5331" w:rsidRDefault="005F5331" w:rsidP="005F5331">
      <w:pPr>
        <w:ind w:left="360"/>
        <w:rPr>
          <w:rFonts w:ascii="Calibri" w:hAnsi="Calibri" w:cs="Calibri"/>
        </w:rPr>
      </w:pPr>
      <w:r w:rsidRPr="001E477F">
        <w:rPr>
          <w:rFonts w:ascii="Calibri" w:hAnsi="Calibri" w:cs="Calibri"/>
        </w:rPr>
        <w:t>In order for telephone interpreting candidate to be considered for work with the supplier, the organisation typically requires the linguist to have a minimum of two years professional experience and a college or post graduate degree.  The supplier recognises a range of professional qualifications and memberships as part of its recruitment and selection process for telephone interpreters.  These include:</w:t>
      </w:r>
    </w:p>
    <w:p w14:paraId="5DF92B41" w14:textId="77777777" w:rsidR="005F5331" w:rsidRPr="001E477F" w:rsidRDefault="005F5331" w:rsidP="005F5331">
      <w:pPr>
        <w:ind w:left="360"/>
        <w:rPr>
          <w:rFonts w:ascii="Calibri" w:hAnsi="Calibri" w:cs="Calibri"/>
        </w:rPr>
      </w:pPr>
    </w:p>
    <w:p w14:paraId="3AFD42AB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 xml:space="preserve">DPSI (Diploma for Public Service Interpreting) </w:t>
      </w:r>
    </w:p>
    <w:p w14:paraId="20F35CBC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Community Level Interpreting</w:t>
      </w:r>
    </w:p>
    <w:p w14:paraId="33395E22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Metropolitan Police Test</w:t>
      </w:r>
    </w:p>
    <w:p w14:paraId="3ADCFCEB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First or postgraduate degree in interpreting</w:t>
      </w:r>
    </w:p>
    <w:p w14:paraId="4ADF908C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First or postgraduate degree in the relevant language</w:t>
      </w:r>
    </w:p>
    <w:p w14:paraId="7DB92824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  <w:lang w:val="en-US"/>
        </w:rPr>
      </w:pPr>
      <w:r w:rsidRPr="00E1174D">
        <w:rPr>
          <w:rFonts w:asciiTheme="minorHAnsi" w:hAnsiTheme="minorHAnsi" w:cstheme="minorHAnsi"/>
          <w:lang w:val="en-US"/>
        </w:rPr>
        <w:t>Federal court certification (US)</w:t>
      </w:r>
    </w:p>
    <w:p w14:paraId="4345F2C0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  <w:lang w:val="en-US"/>
        </w:rPr>
      </w:pPr>
      <w:r w:rsidRPr="00E1174D">
        <w:rPr>
          <w:rFonts w:asciiTheme="minorHAnsi" w:hAnsiTheme="minorHAnsi" w:cstheme="minorHAnsi"/>
          <w:lang w:val="en-US"/>
        </w:rPr>
        <w:t>Consortium states court certification (US)</w:t>
      </w:r>
    </w:p>
    <w:p w14:paraId="6D7E8B63" w14:textId="77777777" w:rsidR="009140BE" w:rsidRPr="008011E1" w:rsidRDefault="005F5331" w:rsidP="009140BE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 xml:space="preserve">Membership of the NRPSI (National Register of Public Sector Interpreters) </w:t>
      </w:r>
    </w:p>
    <w:p w14:paraId="2AB6346D" w14:textId="77777777" w:rsidR="005F5331" w:rsidRPr="00E1174D" w:rsidRDefault="005F5331" w:rsidP="005F5331">
      <w:pPr>
        <w:pStyle w:val="normalbullet"/>
        <w:ind w:left="851" w:hanging="425"/>
        <w:rPr>
          <w:rFonts w:asciiTheme="minorHAnsi" w:hAnsiTheme="minorHAnsi" w:cstheme="minorHAnsi"/>
        </w:rPr>
      </w:pPr>
      <w:r w:rsidRPr="00E1174D">
        <w:rPr>
          <w:rFonts w:asciiTheme="minorHAnsi" w:hAnsiTheme="minorHAnsi" w:cstheme="minorHAnsi"/>
        </w:rPr>
        <w:t>Membership of one of the leading associations such as the Institute of Translation and Interpreting (ITI) or Institute of Linguists (IoL)</w:t>
      </w:r>
    </w:p>
    <w:p w14:paraId="2B05FCF6" w14:textId="77777777" w:rsidR="005F5331" w:rsidRPr="00E1174D" w:rsidRDefault="005F5331" w:rsidP="005F5331">
      <w:pPr>
        <w:pStyle w:val="normaltext"/>
        <w:spacing w:before="0" w:after="0" w:line="240" w:lineRule="auto"/>
        <w:ind w:left="360"/>
        <w:rPr>
          <w:rFonts w:asciiTheme="minorHAnsi" w:hAnsiTheme="minorHAnsi" w:cstheme="minorHAnsi"/>
        </w:rPr>
      </w:pPr>
    </w:p>
    <w:p w14:paraId="1FC62829" w14:textId="77777777" w:rsidR="005F5331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  <w:r w:rsidRPr="001E477F">
        <w:rPr>
          <w:rFonts w:ascii="Calibri" w:hAnsi="Calibri" w:cs="Calibri"/>
        </w:rPr>
        <w:t>Recognition of previous qualifications and experience forms the basis for the comprehensive, multi-stage selection process. Face-to-face and telephone interpreting candidates who meet the initial qualification and experience requirements are required to take part in a structured process which includes:</w:t>
      </w:r>
    </w:p>
    <w:p w14:paraId="0FFF689E" w14:textId="77777777" w:rsidR="005F5331" w:rsidRPr="001E477F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</w:p>
    <w:p w14:paraId="545D1FF5" w14:textId="77777777" w:rsidR="005F5331" w:rsidRDefault="005F5331" w:rsidP="005F5331">
      <w:pPr>
        <w:pStyle w:val="normaltext"/>
        <w:numPr>
          <w:ilvl w:val="0"/>
          <w:numId w:val="4"/>
        </w:numPr>
        <w:spacing w:before="0" w:after="0" w:line="240" w:lineRule="auto"/>
        <w:ind w:left="851" w:hanging="567"/>
        <w:rPr>
          <w:rFonts w:ascii="Calibri" w:hAnsi="Calibri" w:cs="Calibri"/>
        </w:rPr>
      </w:pPr>
      <w:r w:rsidRPr="001E477F">
        <w:rPr>
          <w:rFonts w:ascii="Calibri" w:hAnsi="Calibri" w:cs="Calibri"/>
        </w:rPr>
        <w:t>Detailed interview designed to test the candidate’s English language skills</w:t>
      </w:r>
    </w:p>
    <w:p w14:paraId="139FDA71" w14:textId="77777777" w:rsidR="005F5331" w:rsidRPr="00E1174D" w:rsidRDefault="005F5331" w:rsidP="005F5331">
      <w:pPr>
        <w:pStyle w:val="normaltext"/>
        <w:numPr>
          <w:ilvl w:val="0"/>
          <w:numId w:val="4"/>
        </w:numPr>
        <w:spacing w:before="0" w:after="0" w:line="240" w:lineRule="auto"/>
        <w:ind w:left="851" w:hanging="567"/>
        <w:rPr>
          <w:rFonts w:ascii="Calibri" w:hAnsi="Calibri" w:cs="Calibri"/>
        </w:rPr>
      </w:pPr>
      <w:r w:rsidRPr="00E1174D">
        <w:rPr>
          <w:rFonts w:ascii="Calibri" w:hAnsi="Calibri" w:cs="Calibri"/>
        </w:rPr>
        <w:t>A formal Interpreter Skills Assessment, testing all aspects of target language and interpreting skills</w:t>
      </w:r>
    </w:p>
    <w:p w14:paraId="768BCBC2" w14:textId="77777777" w:rsidR="005F5331" w:rsidRPr="001E477F" w:rsidRDefault="005F5331" w:rsidP="005F5331">
      <w:pPr>
        <w:pStyle w:val="normaltext"/>
        <w:spacing w:before="0" w:after="0" w:line="240" w:lineRule="auto"/>
        <w:ind w:left="1080"/>
        <w:rPr>
          <w:rFonts w:ascii="Calibri" w:hAnsi="Calibri" w:cs="Calibri"/>
        </w:rPr>
      </w:pPr>
    </w:p>
    <w:p w14:paraId="6C14BFD8" w14:textId="77777777" w:rsidR="005F5331" w:rsidRPr="001E477F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  <w:r w:rsidRPr="001E477F">
        <w:rPr>
          <w:rFonts w:ascii="Calibri" w:hAnsi="Calibri" w:cs="Calibri"/>
        </w:rPr>
        <w:t>Candidates who are successful at both stages are then invited to complete an induction stage which includes training on a broad range of key elements of interpreting, including technical interpreting skills, customer service skills, conduct, responsibilities and administration.</w:t>
      </w:r>
    </w:p>
    <w:p w14:paraId="7310B0BC" w14:textId="77777777" w:rsidR="005F5331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  <w:r w:rsidRPr="001E477F">
        <w:rPr>
          <w:rFonts w:ascii="Calibri" w:hAnsi="Calibri" w:cs="Calibri"/>
        </w:rPr>
        <w:t xml:space="preserve">All interpreters are security cleared by an independent professional agency before commencing any </w:t>
      </w:r>
      <w:r w:rsidRPr="00284067">
        <w:rPr>
          <w:rFonts w:ascii="Calibri" w:hAnsi="Calibri" w:cs="Calibri"/>
        </w:rPr>
        <w:t xml:space="preserve">work. </w:t>
      </w:r>
    </w:p>
    <w:p w14:paraId="627DDFE5" w14:textId="77777777" w:rsidR="00986177" w:rsidRPr="00284067" w:rsidRDefault="00986177" w:rsidP="008C4E05">
      <w:pPr>
        <w:pStyle w:val="normaltext"/>
        <w:spacing w:before="0" w:after="0" w:line="240" w:lineRule="auto"/>
        <w:rPr>
          <w:rFonts w:ascii="Calibri" w:hAnsi="Calibri" w:cs="Calibri"/>
        </w:rPr>
      </w:pPr>
    </w:p>
    <w:p w14:paraId="120338D3" w14:textId="77777777" w:rsidR="005F5331" w:rsidRPr="00284067" w:rsidRDefault="005F5331" w:rsidP="005F5331">
      <w:pPr>
        <w:pStyle w:val="normaltext"/>
        <w:spacing w:before="0" w:after="0" w:line="240" w:lineRule="auto"/>
        <w:ind w:left="360"/>
        <w:rPr>
          <w:rFonts w:ascii="Calibri" w:hAnsi="Calibri" w:cs="Calibri"/>
        </w:rPr>
      </w:pPr>
      <w:r w:rsidRPr="00284067">
        <w:rPr>
          <w:rFonts w:ascii="Calibri" w:hAnsi="Calibri" w:cs="Calibri"/>
        </w:rPr>
        <w:t xml:space="preserve">Ongoing coaching, mentoring and quality monitoring also form part of the ongoing management of interpreters. </w:t>
      </w:r>
    </w:p>
    <w:p w14:paraId="20A7A7F5" w14:textId="77777777" w:rsidR="008011E1" w:rsidRPr="00284067" w:rsidRDefault="008011E1" w:rsidP="00492C44"/>
    <w:p w14:paraId="5AE32969" w14:textId="77777777" w:rsidR="00B400CF" w:rsidRDefault="00B400CF" w:rsidP="005F5331">
      <w:pPr>
        <w:pStyle w:val="gmail-msolistparagraph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284067">
        <w:rPr>
          <w:rFonts w:ascii="Calibri" w:hAnsi="Calibri" w:cs="Calibri"/>
          <w:b/>
          <w:sz w:val="22"/>
          <w:szCs w:val="22"/>
        </w:rPr>
        <w:t>What language services have you provided during the COVID19 pandemic?</w:t>
      </w:r>
    </w:p>
    <w:p w14:paraId="57B87EF4" w14:textId="77777777" w:rsidR="008011E1" w:rsidRPr="00284067" w:rsidRDefault="008011E1" w:rsidP="008011E1">
      <w:pPr>
        <w:pStyle w:val="gmail-msolistparagraph"/>
        <w:spacing w:before="0" w:beforeAutospacing="0" w:after="0" w:afterAutospacing="0"/>
        <w:ind w:left="360"/>
        <w:rPr>
          <w:rFonts w:ascii="Calibri" w:hAnsi="Calibri" w:cs="Calibri"/>
          <w:b/>
          <w:sz w:val="22"/>
          <w:szCs w:val="22"/>
        </w:rPr>
      </w:pPr>
    </w:p>
    <w:p w14:paraId="5BEB405D" w14:textId="77777777" w:rsidR="00B400CF" w:rsidRPr="00284067" w:rsidRDefault="00B400CF" w:rsidP="003A06E2">
      <w:pPr>
        <w:pStyle w:val="gmail-msolistparagraph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  <w:r w:rsidRPr="00284067">
        <w:rPr>
          <w:rFonts w:ascii="Calibri" w:hAnsi="Calibri" w:cs="Calibri"/>
          <w:sz w:val="22"/>
          <w:szCs w:val="22"/>
        </w:rPr>
        <w:t>Telephone interpreting wa</w:t>
      </w:r>
      <w:r w:rsidR="003A06E2">
        <w:rPr>
          <w:rFonts w:ascii="Calibri" w:hAnsi="Calibri" w:cs="Calibri"/>
          <w:sz w:val="22"/>
          <w:szCs w:val="22"/>
        </w:rPr>
        <w:t xml:space="preserve">s our main method of interpreting, </w:t>
      </w:r>
      <w:r w:rsidRPr="00284067">
        <w:rPr>
          <w:rFonts w:ascii="Calibri" w:hAnsi="Calibri" w:cs="Calibri"/>
          <w:sz w:val="22"/>
          <w:szCs w:val="22"/>
        </w:rPr>
        <w:t>and video interpreting was made available fo</w:t>
      </w:r>
      <w:r w:rsidR="003A06E2">
        <w:rPr>
          <w:rFonts w:ascii="Calibri" w:hAnsi="Calibri" w:cs="Calibri"/>
          <w:sz w:val="22"/>
          <w:szCs w:val="22"/>
        </w:rPr>
        <w:t>r those requiring sign language and remote consultations.</w:t>
      </w:r>
    </w:p>
    <w:p w14:paraId="6B1114F0" w14:textId="77777777" w:rsidR="008011E1" w:rsidRPr="00284067" w:rsidRDefault="008011E1" w:rsidP="00B400CF">
      <w:pPr>
        <w:pStyle w:val="gmail-msolistparagraph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095D1D46" w14:textId="77777777" w:rsidR="00B400CF" w:rsidRDefault="00B400CF" w:rsidP="005F5331">
      <w:pPr>
        <w:pStyle w:val="gmail-msolistparagraph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284067">
        <w:rPr>
          <w:rFonts w:ascii="Calibri" w:hAnsi="Calibri" w:cs="Calibri"/>
          <w:b/>
          <w:sz w:val="22"/>
          <w:szCs w:val="22"/>
        </w:rPr>
        <w:t>How many interpreting requests have not been filled during the COVID 19 pandemic and what languages were they?</w:t>
      </w:r>
    </w:p>
    <w:p w14:paraId="5438B110" w14:textId="77777777" w:rsidR="008011E1" w:rsidRPr="00284067" w:rsidRDefault="008011E1" w:rsidP="008011E1">
      <w:pPr>
        <w:pStyle w:val="gmail-msolistparagraph"/>
        <w:spacing w:before="0" w:beforeAutospacing="0" w:after="0" w:afterAutospacing="0"/>
        <w:ind w:left="360"/>
        <w:rPr>
          <w:rFonts w:ascii="Calibri" w:hAnsi="Calibri" w:cs="Calibri"/>
          <w:b/>
          <w:sz w:val="22"/>
          <w:szCs w:val="22"/>
        </w:rPr>
      </w:pPr>
    </w:p>
    <w:p w14:paraId="1DED9A37" w14:textId="77777777" w:rsidR="00B400CF" w:rsidRPr="00284067" w:rsidRDefault="00B400CF" w:rsidP="005F5331">
      <w:pPr>
        <w:ind w:left="360"/>
        <w:rPr>
          <w:rFonts w:ascii="Calibri" w:hAnsi="Calibri" w:cs="Calibri"/>
        </w:rPr>
      </w:pPr>
      <w:r w:rsidRPr="00284067">
        <w:rPr>
          <w:rFonts w:ascii="Calibri" w:hAnsi="Calibri" w:cs="Calibri"/>
        </w:rPr>
        <w:t>In</w:t>
      </w:r>
      <w:r w:rsidR="008011E1">
        <w:rPr>
          <w:rFonts w:ascii="Calibri" w:hAnsi="Calibri" w:cs="Calibri"/>
        </w:rPr>
        <w:t>formation not held. All face-to-</w:t>
      </w:r>
      <w:r w:rsidRPr="00284067">
        <w:rPr>
          <w:rFonts w:ascii="Calibri" w:hAnsi="Calibri" w:cs="Calibri"/>
        </w:rPr>
        <w:t xml:space="preserve">face requests already booked were cancelled, with varying </w:t>
      </w:r>
      <w:r w:rsidR="008011E1" w:rsidRPr="00284067">
        <w:rPr>
          <w:rFonts w:ascii="Calibri" w:hAnsi="Calibri" w:cs="Calibri"/>
        </w:rPr>
        <w:t>languages,</w:t>
      </w:r>
      <w:r w:rsidRPr="00284067">
        <w:rPr>
          <w:rFonts w:ascii="Calibri" w:hAnsi="Calibri" w:cs="Calibri"/>
        </w:rPr>
        <w:t xml:space="preserve"> as the hospital was no longer conducting </w:t>
      </w:r>
      <w:r w:rsidR="008011E1" w:rsidRPr="00284067">
        <w:rPr>
          <w:rFonts w:ascii="Calibri" w:hAnsi="Calibri" w:cs="Calibri"/>
        </w:rPr>
        <w:t>face-to-face</w:t>
      </w:r>
      <w:r w:rsidRPr="00284067">
        <w:rPr>
          <w:rFonts w:ascii="Calibri" w:hAnsi="Calibri" w:cs="Calibri"/>
        </w:rPr>
        <w:t xml:space="preserve"> appointments. The exact number is not recorded.</w:t>
      </w:r>
    </w:p>
    <w:p w14:paraId="3F41FCEF" w14:textId="77777777" w:rsidR="00B400CF" w:rsidRPr="00A63D2A" w:rsidRDefault="00B400CF" w:rsidP="00B400CF">
      <w:pPr>
        <w:rPr>
          <w:rFonts w:ascii="Calibri" w:hAnsi="Calibri" w:cs="Calibri"/>
          <w:b/>
          <w:color w:val="FF0000"/>
        </w:rPr>
      </w:pPr>
    </w:p>
    <w:p w14:paraId="61912534" w14:textId="77777777" w:rsidR="00B400CF" w:rsidRPr="00A63D2A" w:rsidRDefault="00B400CF" w:rsidP="00492C44">
      <w:pPr>
        <w:rPr>
          <w:color w:val="FF0000"/>
        </w:rPr>
      </w:pPr>
    </w:p>
    <w:sectPr w:rsidR="00B400CF" w:rsidRPr="00A63D2A" w:rsidSect="00A63D2A">
      <w:headerReference w:type="default" r:id="rId8"/>
      <w:footerReference w:type="default" r:id="rId9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A191" w14:textId="77777777" w:rsidR="008B68B5" w:rsidRDefault="008B68B5" w:rsidP="00492C44">
      <w:r>
        <w:separator/>
      </w:r>
    </w:p>
  </w:endnote>
  <w:endnote w:type="continuationSeparator" w:id="0">
    <w:p w14:paraId="5F22483B" w14:textId="77777777" w:rsidR="008B68B5" w:rsidRDefault="008B68B5" w:rsidP="0049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7881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A5D36E" w14:textId="77777777" w:rsidR="00492C44" w:rsidRDefault="00492C44">
            <w:pPr>
              <w:pStyle w:val="Footer"/>
              <w:jc w:val="center"/>
            </w:pPr>
          </w:p>
          <w:p w14:paraId="67ACCA25" w14:textId="632788AB" w:rsidR="00492C44" w:rsidRPr="00492C44" w:rsidRDefault="00492C44">
            <w:pPr>
              <w:pStyle w:val="Footer"/>
              <w:jc w:val="center"/>
              <w:rPr>
                <w:b/>
                <w:bCs/>
              </w:rPr>
            </w:pPr>
            <w:r w:rsidRPr="00492C44">
              <w:t xml:space="preserve">Page </w:t>
            </w:r>
            <w:r w:rsidRPr="00492C44">
              <w:rPr>
                <w:b/>
                <w:bCs/>
              </w:rPr>
              <w:fldChar w:fldCharType="begin"/>
            </w:r>
            <w:r w:rsidRPr="00492C44">
              <w:rPr>
                <w:b/>
                <w:bCs/>
              </w:rPr>
              <w:instrText xml:space="preserve"> PAGE </w:instrText>
            </w:r>
            <w:r w:rsidRPr="00492C44">
              <w:rPr>
                <w:b/>
                <w:bCs/>
              </w:rPr>
              <w:fldChar w:fldCharType="separate"/>
            </w:r>
            <w:r w:rsidR="00E018AC">
              <w:rPr>
                <w:b/>
                <w:bCs/>
                <w:noProof/>
              </w:rPr>
              <w:t>1</w:t>
            </w:r>
            <w:r w:rsidRPr="00492C44">
              <w:rPr>
                <w:b/>
                <w:bCs/>
              </w:rPr>
              <w:fldChar w:fldCharType="end"/>
            </w:r>
            <w:r w:rsidRPr="00492C44">
              <w:t xml:space="preserve"> of </w:t>
            </w:r>
            <w:r w:rsidRPr="00492C44">
              <w:rPr>
                <w:b/>
                <w:bCs/>
              </w:rPr>
              <w:fldChar w:fldCharType="begin"/>
            </w:r>
            <w:r w:rsidRPr="00492C44">
              <w:rPr>
                <w:b/>
                <w:bCs/>
              </w:rPr>
              <w:instrText xml:space="preserve"> NUMPAGES  </w:instrText>
            </w:r>
            <w:r w:rsidRPr="00492C44">
              <w:rPr>
                <w:b/>
                <w:bCs/>
              </w:rPr>
              <w:fldChar w:fldCharType="separate"/>
            </w:r>
            <w:r w:rsidR="00E018AC">
              <w:rPr>
                <w:b/>
                <w:bCs/>
                <w:noProof/>
              </w:rPr>
              <w:t>5</w:t>
            </w:r>
            <w:r w:rsidRPr="00492C44">
              <w:rPr>
                <w:b/>
                <w:bCs/>
              </w:rPr>
              <w:fldChar w:fldCharType="end"/>
            </w:r>
          </w:p>
          <w:p w14:paraId="6AD3ED91" w14:textId="7527409A" w:rsidR="00492C44" w:rsidRDefault="00E018AC" w:rsidP="00492C44">
            <w:pPr>
              <w:pStyle w:val="Footer"/>
              <w:jc w:val="right"/>
            </w:pPr>
          </w:p>
        </w:sdtContent>
      </w:sdt>
    </w:sdtContent>
  </w:sdt>
  <w:p w14:paraId="5F4DC4BE" w14:textId="77777777" w:rsidR="00492C44" w:rsidRDefault="0049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D318" w14:textId="77777777" w:rsidR="008B68B5" w:rsidRDefault="008B68B5" w:rsidP="00492C44">
      <w:r>
        <w:separator/>
      </w:r>
    </w:p>
  </w:footnote>
  <w:footnote w:type="continuationSeparator" w:id="0">
    <w:p w14:paraId="0A1775CA" w14:textId="77777777" w:rsidR="008B68B5" w:rsidRDefault="008B68B5" w:rsidP="0049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DD17" w14:textId="5476F2E8" w:rsidR="00492C44" w:rsidRDefault="00973147" w:rsidP="0004252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123637D" wp14:editId="065F677B">
          <wp:extent cx="2170430" cy="660400"/>
          <wp:effectExtent l="0" t="0" r="1270" b="6350"/>
          <wp:docPr id="1791365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579"/>
    <w:multiLevelType w:val="hybridMultilevel"/>
    <w:tmpl w:val="78E0C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209DD"/>
    <w:multiLevelType w:val="multilevel"/>
    <w:tmpl w:val="A656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17795"/>
    <w:multiLevelType w:val="hybridMultilevel"/>
    <w:tmpl w:val="BC48B4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87053"/>
    <w:multiLevelType w:val="hybridMultilevel"/>
    <w:tmpl w:val="BD7A6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05E"/>
    <w:multiLevelType w:val="hybridMultilevel"/>
    <w:tmpl w:val="F4A27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009EA"/>
    <w:multiLevelType w:val="hybridMultilevel"/>
    <w:tmpl w:val="93FE1BDE"/>
    <w:lvl w:ilvl="0" w:tplc="4C34F618">
      <w:start w:val="1"/>
      <w:numFmt w:val="decimal"/>
      <w:lvlText w:val="%1."/>
      <w:lvlJc w:val="left"/>
      <w:pPr>
        <w:ind w:left="375" w:hanging="375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B2E3B"/>
    <w:multiLevelType w:val="hybridMultilevel"/>
    <w:tmpl w:val="CB2ABB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F11EF"/>
    <w:multiLevelType w:val="hybridMultilevel"/>
    <w:tmpl w:val="274859B6"/>
    <w:lvl w:ilvl="0" w:tplc="9EEAEB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20605"/>
    <w:multiLevelType w:val="hybridMultilevel"/>
    <w:tmpl w:val="92B0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49DF"/>
    <w:multiLevelType w:val="hybridMultilevel"/>
    <w:tmpl w:val="B7560A26"/>
    <w:lvl w:ilvl="0" w:tplc="C4F6944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F602E"/>
    <w:multiLevelType w:val="hybridMultilevel"/>
    <w:tmpl w:val="16D44B8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A385116">
      <w:start w:val="1"/>
      <w:numFmt w:val="lowerLetter"/>
      <w:lvlText w:val="%2."/>
      <w:lvlJc w:val="left"/>
      <w:pPr>
        <w:ind w:left="1455" w:hanging="375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25CA5"/>
    <w:multiLevelType w:val="hybridMultilevel"/>
    <w:tmpl w:val="520CF19A"/>
    <w:lvl w:ilvl="0" w:tplc="2D36F8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80938"/>
    <w:multiLevelType w:val="hybridMultilevel"/>
    <w:tmpl w:val="BD5281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457F2"/>
    <w:multiLevelType w:val="hybridMultilevel"/>
    <w:tmpl w:val="8D848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A385116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33A9C"/>
    <w:multiLevelType w:val="hybridMultilevel"/>
    <w:tmpl w:val="2B04A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24CD1"/>
    <w:multiLevelType w:val="hybridMultilevel"/>
    <w:tmpl w:val="6D780946"/>
    <w:lvl w:ilvl="0" w:tplc="FBFA40A2">
      <w:start w:val="1"/>
      <w:numFmt w:val="bullet"/>
      <w:pStyle w:val="normalbullet"/>
      <w:lvlText w:val=""/>
      <w:lvlJc w:val="left"/>
      <w:pPr>
        <w:tabs>
          <w:tab w:val="num" w:pos="-108"/>
        </w:tabs>
        <w:ind w:left="-1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3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02"/>
    <w:rsid w:val="0004252E"/>
    <w:rsid w:val="000630F7"/>
    <w:rsid w:val="00072942"/>
    <w:rsid w:val="000748C7"/>
    <w:rsid w:val="000838A0"/>
    <w:rsid w:val="000A1CDD"/>
    <w:rsid w:val="000C2B5C"/>
    <w:rsid w:val="00100445"/>
    <w:rsid w:val="00123D17"/>
    <w:rsid w:val="001323B2"/>
    <w:rsid w:val="00146538"/>
    <w:rsid w:val="00165FE5"/>
    <w:rsid w:val="00191127"/>
    <w:rsid w:val="001B43C8"/>
    <w:rsid w:val="001C286F"/>
    <w:rsid w:val="001D76C3"/>
    <w:rsid w:val="001F48D2"/>
    <w:rsid w:val="0020295D"/>
    <w:rsid w:val="00207B88"/>
    <w:rsid w:val="00210098"/>
    <w:rsid w:val="00224742"/>
    <w:rsid w:val="0023089B"/>
    <w:rsid w:val="0023670D"/>
    <w:rsid w:val="00242F07"/>
    <w:rsid w:val="00252747"/>
    <w:rsid w:val="00253795"/>
    <w:rsid w:val="00270312"/>
    <w:rsid w:val="00284067"/>
    <w:rsid w:val="00284800"/>
    <w:rsid w:val="0029309D"/>
    <w:rsid w:val="00294151"/>
    <w:rsid w:val="002A092E"/>
    <w:rsid w:val="002A3140"/>
    <w:rsid w:val="002B2626"/>
    <w:rsid w:val="002B7E99"/>
    <w:rsid w:val="002E578C"/>
    <w:rsid w:val="002E77D8"/>
    <w:rsid w:val="002F1F15"/>
    <w:rsid w:val="002F4404"/>
    <w:rsid w:val="003220E5"/>
    <w:rsid w:val="00323259"/>
    <w:rsid w:val="00375075"/>
    <w:rsid w:val="00384C06"/>
    <w:rsid w:val="003871E9"/>
    <w:rsid w:val="003A06E2"/>
    <w:rsid w:val="003A73F9"/>
    <w:rsid w:val="003D08F4"/>
    <w:rsid w:val="004100C2"/>
    <w:rsid w:val="004401CD"/>
    <w:rsid w:val="00443887"/>
    <w:rsid w:val="00447D9D"/>
    <w:rsid w:val="00451CFC"/>
    <w:rsid w:val="00473BF3"/>
    <w:rsid w:val="0047789C"/>
    <w:rsid w:val="004813E3"/>
    <w:rsid w:val="00492C44"/>
    <w:rsid w:val="00492D28"/>
    <w:rsid w:val="00493DB1"/>
    <w:rsid w:val="004D187D"/>
    <w:rsid w:val="004D6F15"/>
    <w:rsid w:val="004E6FD6"/>
    <w:rsid w:val="00505645"/>
    <w:rsid w:val="00546AFF"/>
    <w:rsid w:val="0056666E"/>
    <w:rsid w:val="00587F62"/>
    <w:rsid w:val="00595B33"/>
    <w:rsid w:val="00595EFD"/>
    <w:rsid w:val="005A2F5C"/>
    <w:rsid w:val="005C134E"/>
    <w:rsid w:val="005D5369"/>
    <w:rsid w:val="005E2502"/>
    <w:rsid w:val="005E25D1"/>
    <w:rsid w:val="005E5401"/>
    <w:rsid w:val="005F362E"/>
    <w:rsid w:val="005F5331"/>
    <w:rsid w:val="00614599"/>
    <w:rsid w:val="006171CC"/>
    <w:rsid w:val="00617E77"/>
    <w:rsid w:val="0063559A"/>
    <w:rsid w:val="00644DDB"/>
    <w:rsid w:val="00646AA6"/>
    <w:rsid w:val="006604E7"/>
    <w:rsid w:val="00674B15"/>
    <w:rsid w:val="006816A5"/>
    <w:rsid w:val="006A447F"/>
    <w:rsid w:val="006C6044"/>
    <w:rsid w:val="006D505F"/>
    <w:rsid w:val="006E7CD9"/>
    <w:rsid w:val="006F5B10"/>
    <w:rsid w:val="007176F7"/>
    <w:rsid w:val="00721370"/>
    <w:rsid w:val="0075787C"/>
    <w:rsid w:val="00773C84"/>
    <w:rsid w:val="007A52FA"/>
    <w:rsid w:val="007B236C"/>
    <w:rsid w:val="007D58F5"/>
    <w:rsid w:val="007E7C8F"/>
    <w:rsid w:val="007F3854"/>
    <w:rsid w:val="007F7D24"/>
    <w:rsid w:val="008011E1"/>
    <w:rsid w:val="0080223F"/>
    <w:rsid w:val="0085067C"/>
    <w:rsid w:val="008804DA"/>
    <w:rsid w:val="00884927"/>
    <w:rsid w:val="008B68B5"/>
    <w:rsid w:val="008B6B52"/>
    <w:rsid w:val="008B7945"/>
    <w:rsid w:val="008C4E05"/>
    <w:rsid w:val="008D5C8B"/>
    <w:rsid w:val="008E04CC"/>
    <w:rsid w:val="008E5DFC"/>
    <w:rsid w:val="00903541"/>
    <w:rsid w:val="009140BE"/>
    <w:rsid w:val="009519DE"/>
    <w:rsid w:val="00973147"/>
    <w:rsid w:val="00982F99"/>
    <w:rsid w:val="00986177"/>
    <w:rsid w:val="009A1A16"/>
    <w:rsid w:val="009B50D8"/>
    <w:rsid w:val="009B5649"/>
    <w:rsid w:val="009C1C0F"/>
    <w:rsid w:val="009C3E3B"/>
    <w:rsid w:val="009C5A52"/>
    <w:rsid w:val="009D7E8D"/>
    <w:rsid w:val="009F6A1B"/>
    <w:rsid w:val="00A02E09"/>
    <w:rsid w:val="00A34F16"/>
    <w:rsid w:val="00A46687"/>
    <w:rsid w:val="00A61DB5"/>
    <w:rsid w:val="00A63717"/>
    <w:rsid w:val="00A63D2A"/>
    <w:rsid w:val="00A662DF"/>
    <w:rsid w:val="00A97E62"/>
    <w:rsid w:val="00AA281A"/>
    <w:rsid w:val="00AA71B8"/>
    <w:rsid w:val="00AB2B89"/>
    <w:rsid w:val="00AD64EE"/>
    <w:rsid w:val="00AD7C7A"/>
    <w:rsid w:val="00AE019E"/>
    <w:rsid w:val="00AE2A43"/>
    <w:rsid w:val="00AF0F46"/>
    <w:rsid w:val="00B055B4"/>
    <w:rsid w:val="00B35410"/>
    <w:rsid w:val="00B400CF"/>
    <w:rsid w:val="00B42674"/>
    <w:rsid w:val="00B468B3"/>
    <w:rsid w:val="00B473AC"/>
    <w:rsid w:val="00B7442F"/>
    <w:rsid w:val="00BB24B0"/>
    <w:rsid w:val="00BD32A3"/>
    <w:rsid w:val="00BE0240"/>
    <w:rsid w:val="00BE100F"/>
    <w:rsid w:val="00BF0FED"/>
    <w:rsid w:val="00C030B4"/>
    <w:rsid w:val="00C077F7"/>
    <w:rsid w:val="00C17D8A"/>
    <w:rsid w:val="00C3079A"/>
    <w:rsid w:val="00C32FFA"/>
    <w:rsid w:val="00C41493"/>
    <w:rsid w:val="00C60513"/>
    <w:rsid w:val="00C67820"/>
    <w:rsid w:val="00C77063"/>
    <w:rsid w:val="00C9694A"/>
    <w:rsid w:val="00C97A4F"/>
    <w:rsid w:val="00CA0E56"/>
    <w:rsid w:val="00CA58B9"/>
    <w:rsid w:val="00CD08EF"/>
    <w:rsid w:val="00D31DC6"/>
    <w:rsid w:val="00D514B3"/>
    <w:rsid w:val="00D827C6"/>
    <w:rsid w:val="00D87D21"/>
    <w:rsid w:val="00DB7050"/>
    <w:rsid w:val="00DC3566"/>
    <w:rsid w:val="00E018AC"/>
    <w:rsid w:val="00E034AB"/>
    <w:rsid w:val="00E1174D"/>
    <w:rsid w:val="00E13198"/>
    <w:rsid w:val="00E14622"/>
    <w:rsid w:val="00E67DCD"/>
    <w:rsid w:val="00EA3E31"/>
    <w:rsid w:val="00EC45C2"/>
    <w:rsid w:val="00ED32BF"/>
    <w:rsid w:val="00EF0ED9"/>
    <w:rsid w:val="00F36DD3"/>
    <w:rsid w:val="00F42D74"/>
    <w:rsid w:val="00F750F0"/>
    <w:rsid w:val="00FA436D"/>
    <w:rsid w:val="00FB4E9A"/>
    <w:rsid w:val="00FB5393"/>
    <w:rsid w:val="00FC1FD4"/>
    <w:rsid w:val="00FE522A"/>
    <w:rsid w:val="00FF2DBD"/>
    <w:rsid w:val="00FF4980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F43EB"/>
  <w15:docId w15:val="{9563B5B5-0194-4290-AE5B-5256859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CC"/>
    <w:pPr>
      <w:ind w:left="720"/>
    </w:pPr>
    <w:rPr>
      <w:rFonts w:ascii="Calibri" w:hAnsi="Calibri" w:cs="Times New Roman"/>
    </w:rPr>
  </w:style>
  <w:style w:type="character" w:customStyle="1" w:styleId="normaltextChar">
    <w:name w:val="normal text Char"/>
    <w:link w:val="normaltext"/>
    <w:locked/>
    <w:rsid w:val="006171CC"/>
    <w:rPr>
      <w:rFonts w:ascii="Arial" w:eastAsia="Times New Roman" w:hAnsi="Arial" w:cs="Arial"/>
    </w:rPr>
  </w:style>
  <w:style w:type="paragraph" w:customStyle="1" w:styleId="normaltext">
    <w:name w:val="normal text"/>
    <w:basedOn w:val="Normal"/>
    <w:link w:val="normaltextChar"/>
    <w:rsid w:val="006171CC"/>
    <w:pPr>
      <w:spacing w:before="120" w:after="180" w:line="300" w:lineRule="atLeast"/>
    </w:pPr>
    <w:rPr>
      <w:rFonts w:ascii="Arial" w:eastAsia="Times New Roman" w:hAnsi="Arial" w:cs="Arial"/>
    </w:rPr>
  </w:style>
  <w:style w:type="paragraph" w:customStyle="1" w:styleId="normalbullet">
    <w:name w:val="normal bullet"/>
    <w:basedOn w:val="normaltext"/>
    <w:next w:val="normaltext"/>
    <w:autoRedefine/>
    <w:rsid w:val="00E1174D"/>
    <w:pPr>
      <w:numPr>
        <w:numId w:val="3"/>
      </w:numPr>
      <w:spacing w:before="0" w:after="0" w:line="240" w:lineRule="auto"/>
      <w:ind w:left="426" w:hanging="426"/>
    </w:pPr>
  </w:style>
  <w:style w:type="character" w:styleId="CommentReference">
    <w:name w:val="annotation reference"/>
    <w:basedOn w:val="DefaultParagraphFont"/>
    <w:uiPriority w:val="99"/>
    <w:semiHidden/>
    <w:unhideWhenUsed/>
    <w:rsid w:val="00A34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1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4980"/>
  </w:style>
  <w:style w:type="paragraph" w:styleId="Header">
    <w:name w:val="header"/>
    <w:basedOn w:val="Normal"/>
    <w:link w:val="HeaderChar"/>
    <w:uiPriority w:val="99"/>
    <w:unhideWhenUsed/>
    <w:rsid w:val="00492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C44"/>
  </w:style>
  <w:style w:type="paragraph" w:styleId="Footer">
    <w:name w:val="footer"/>
    <w:basedOn w:val="Normal"/>
    <w:link w:val="FooterChar"/>
    <w:uiPriority w:val="99"/>
    <w:unhideWhenUsed/>
    <w:rsid w:val="00492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C44"/>
  </w:style>
  <w:style w:type="paragraph" w:customStyle="1" w:styleId="gmail-msolistparagraph">
    <w:name w:val="gmail-msolistparagraph"/>
    <w:basedOn w:val="Normal"/>
    <w:rsid w:val="00B400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9450-F856-417B-B7DA-E31CFA15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8157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Perry, Caroline</dc:creator>
  <cp:lastModifiedBy>Frost, Karen</cp:lastModifiedBy>
  <cp:revision>2</cp:revision>
  <dcterms:created xsi:type="dcterms:W3CDTF">2025-09-29T09:43:00Z</dcterms:created>
  <dcterms:modified xsi:type="dcterms:W3CDTF">2025-09-29T09:43:00Z</dcterms:modified>
</cp:coreProperties>
</file>