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98" w:rsidRPr="00960798" w:rsidRDefault="00960798" w:rsidP="00960798">
      <w:pPr>
        <w:spacing w:before="240" w:after="240"/>
        <w:rPr>
          <w:rFonts w:ascii="Arial" w:hAnsi="Arial" w:cs="Arial"/>
          <w:sz w:val="20"/>
          <w:szCs w:val="20"/>
          <w:lang w:val="en" w:eastAsia="en-GB"/>
        </w:rPr>
      </w:pPr>
      <w:bookmarkStart w:id="0" w:name="_GoBack"/>
      <w:bookmarkEnd w:id="0"/>
      <w:r w:rsidRPr="00960798">
        <w:rPr>
          <w:rFonts w:ascii="Arial" w:hAnsi="Arial" w:cs="Arial"/>
          <w:sz w:val="20"/>
          <w:szCs w:val="20"/>
          <w:lang w:val="en" w:eastAsia="en-GB"/>
        </w:rPr>
        <w:t>UK Data Protection Changes (</w:t>
      </w:r>
      <w:hyperlink r:id="rId6" w:history="1">
        <w:r w:rsidRPr="00960798">
          <w:rPr>
            <w:rStyle w:val="Hyperlink"/>
            <w:rFonts w:ascii="Arial" w:hAnsi="Arial" w:cs="Arial"/>
            <w:b/>
            <w:bCs/>
            <w:color w:val="auto"/>
            <w:sz w:val="20"/>
            <w:szCs w:val="20"/>
            <w:lang w:val="en" w:eastAsia="en-GB"/>
          </w:rPr>
          <w:t>EU General Data Protection Regulation 2016 (GDPR)</w:t>
        </w:r>
      </w:hyperlink>
      <w:r w:rsidRPr="00960798">
        <w:rPr>
          <w:rFonts w:ascii="Arial" w:hAnsi="Arial" w:cs="Arial"/>
          <w:sz w:val="20"/>
          <w:szCs w:val="20"/>
          <w:lang w:val="en" w:eastAsia="en-GB"/>
        </w:rPr>
        <w:t>) The EU General Data Production Regulation (GDPR) was approved in 2016 and will come into law in the UK from F</w:t>
      </w:r>
      <w:r w:rsidRPr="00960798">
        <w:rPr>
          <w:rFonts w:ascii="Arial" w:hAnsi="Arial" w:cs="Arial"/>
          <w:sz w:val="20"/>
          <w:szCs w:val="20"/>
          <w:lang w:val="en" w:eastAsia="en-GB"/>
        </w:rPr>
        <w:t>r</w:t>
      </w:r>
      <w:r w:rsidRPr="00960798">
        <w:rPr>
          <w:rFonts w:ascii="Arial" w:hAnsi="Arial" w:cs="Arial"/>
          <w:sz w:val="20"/>
          <w:szCs w:val="20"/>
          <w:lang w:val="en" w:eastAsia="en-GB"/>
        </w:rPr>
        <w:t xml:space="preserve">iday 25 May 2018. It replaces the Directive that is the basis of the UK Data Protection Act 1998, which has been replaced by the </w:t>
      </w:r>
      <w:hyperlink r:id="rId7" w:history="1">
        <w:r w:rsidRPr="00960798">
          <w:rPr>
            <w:rStyle w:val="Hyperlink"/>
            <w:rFonts w:ascii="Arial" w:hAnsi="Arial" w:cs="Arial"/>
            <w:color w:val="auto"/>
            <w:sz w:val="20"/>
            <w:szCs w:val="20"/>
            <w:lang w:val="en" w:eastAsia="en-GB"/>
          </w:rPr>
          <w:t>Data Protection Act 2018</w:t>
        </w:r>
      </w:hyperlink>
      <w:r w:rsidRPr="00960798">
        <w:rPr>
          <w:rFonts w:ascii="Arial" w:hAnsi="Arial" w:cs="Arial"/>
          <w:sz w:val="20"/>
          <w:szCs w:val="20"/>
          <w:lang w:val="en" w:eastAsia="en-GB"/>
        </w:rPr>
        <w:t xml:space="preserve">. It is expected that the provisions of the GDPR will remain in force post-Brexit.  </w:t>
      </w:r>
    </w:p>
    <w:p w:rsidR="00960798" w:rsidRPr="00960798" w:rsidRDefault="00960798" w:rsidP="00960798">
      <w:pPr>
        <w:spacing w:before="240" w:after="240"/>
        <w:rPr>
          <w:rFonts w:ascii="Arial" w:hAnsi="Arial" w:cs="Arial"/>
          <w:sz w:val="20"/>
          <w:szCs w:val="20"/>
          <w:lang w:val="en" w:eastAsia="en-GB"/>
        </w:rPr>
      </w:pPr>
      <w:r w:rsidRPr="00960798">
        <w:rPr>
          <w:rFonts w:ascii="Arial" w:hAnsi="Arial" w:cs="Arial"/>
          <w:sz w:val="20"/>
          <w:szCs w:val="20"/>
          <w:lang w:val="en" w:eastAsia="en-GB"/>
        </w:rPr>
        <w:t xml:space="preserve">Although in general the principles of data protection remain similar from the previous Act in 1998, there is greater focus on evidence-based compliance with specified requirements for transparency and openness of the data we process in Kings College Hospital NHS Foundation Trust (the Trust), demonstrating compliance and delivery of the rights for individual data subjects (you) while reducing the risk of considerably stronger penalties for non-compliance. </w:t>
      </w:r>
    </w:p>
    <w:p w:rsidR="00960798" w:rsidRPr="00960798" w:rsidRDefault="00960798" w:rsidP="00960798">
      <w:pPr>
        <w:spacing w:before="240" w:after="240"/>
        <w:rPr>
          <w:rFonts w:ascii="Arial" w:hAnsi="Arial" w:cs="Arial"/>
          <w:sz w:val="20"/>
          <w:szCs w:val="20"/>
          <w:lang w:val="en" w:eastAsia="en-GB"/>
        </w:rPr>
      </w:pPr>
      <w:r w:rsidRPr="00960798">
        <w:rPr>
          <w:rFonts w:ascii="Arial" w:hAnsi="Arial" w:cs="Arial"/>
          <w:sz w:val="20"/>
          <w:szCs w:val="20"/>
          <w:lang w:val="en" w:eastAsia="en-GB"/>
        </w:rPr>
        <w:t>The GDPR introduces the principle of ‘accountability’ that requires us to be able to demonstrate compliance. The key obligations to support this include:</w:t>
      </w:r>
    </w:p>
    <w:p w:rsidR="00960798" w:rsidRPr="00960798" w:rsidRDefault="00960798" w:rsidP="00960798">
      <w:pPr>
        <w:numPr>
          <w:ilvl w:val="0"/>
          <w:numId w:val="1"/>
        </w:numPr>
        <w:spacing w:before="240" w:after="240"/>
        <w:ind w:left="360"/>
        <w:contextualSpacing/>
        <w:rPr>
          <w:rFonts w:ascii="Arial" w:eastAsia="Times New Roman" w:hAnsi="Arial" w:cs="Arial"/>
          <w:sz w:val="20"/>
          <w:szCs w:val="20"/>
          <w:lang w:val="en" w:eastAsia="en-GB"/>
        </w:rPr>
      </w:pPr>
      <w:r w:rsidRPr="00960798">
        <w:rPr>
          <w:rFonts w:ascii="Arial" w:eastAsia="Times New Roman" w:hAnsi="Arial" w:cs="Arial"/>
          <w:sz w:val="20"/>
          <w:szCs w:val="20"/>
          <w:lang w:val="en" w:eastAsia="en-GB"/>
        </w:rPr>
        <w:t>The recording of all data processing activities identifying the lawful justification and data retention periods</w:t>
      </w:r>
    </w:p>
    <w:p w:rsidR="00960798" w:rsidRPr="00960798" w:rsidRDefault="00960798" w:rsidP="00960798">
      <w:pPr>
        <w:numPr>
          <w:ilvl w:val="0"/>
          <w:numId w:val="1"/>
        </w:numPr>
        <w:spacing w:before="240" w:after="240"/>
        <w:ind w:left="360"/>
        <w:contextualSpacing/>
        <w:rPr>
          <w:rFonts w:ascii="Arial" w:eastAsia="Times New Roman" w:hAnsi="Arial" w:cs="Arial"/>
          <w:sz w:val="20"/>
          <w:szCs w:val="20"/>
          <w:lang w:val="en" w:eastAsia="en-GB"/>
        </w:rPr>
      </w:pPr>
      <w:r w:rsidRPr="00960798">
        <w:rPr>
          <w:rFonts w:ascii="Arial" w:eastAsia="Times New Roman" w:hAnsi="Arial" w:cs="Arial"/>
          <w:sz w:val="20"/>
          <w:szCs w:val="20"/>
          <w:lang w:val="en" w:eastAsia="en-GB"/>
        </w:rPr>
        <w:t>Routinely conducting and reviewing data protection impact assessments where processing is likely to pose a high risk to individuals’ rights and freedoms</w:t>
      </w:r>
    </w:p>
    <w:p w:rsidR="00960798" w:rsidRPr="00960798" w:rsidRDefault="00960798" w:rsidP="00960798">
      <w:pPr>
        <w:numPr>
          <w:ilvl w:val="0"/>
          <w:numId w:val="1"/>
        </w:numPr>
        <w:spacing w:before="240" w:after="240"/>
        <w:ind w:left="360"/>
        <w:contextualSpacing/>
        <w:rPr>
          <w:rFonts w:ascii="Arial" w:eastAsia="Times New Roman" w:hAnsi="Arial" w:cs="Arial"/>
          <w:sz w:val="20"/>
          <w:szCs w:val="20"/>
          <w:lang w:val="en" w:eastAsia="en-GB"/>
        </w:rPr>
      </w:pPr>
      <w:r w:rsidRPr="00960798">
        <w:rPr>
          <w:rFonts w:ascii="Arial" w:eastAsia="Times New Roman" w:hAnsi="Arial" w:cs="Arial"/>
          <w:sz w:val="20"/>
          <w:szCs w:val="20"/>
          <w:lang w:val="en" w:eastAsia="en-GB"/>
        </w:rPr>
        <w:t>Assessing the need for data protection consideration at an early stage, and incorporating data protection measures by default in the design and operation of our information systems and processes</w:t>
      </w:r>
    </w:p>
    <w:p w:rsidR="00960798" w:rsidRPr="00960798" w:rsidRDefault="00960798" w:rsidP="00960798">
      <w:pPr>
        <w:numPr>
          <w:ilvl w:val="0"/>
          <w:numId w:val="1"/>
        </w:numPr>
        <w:spacing w:before="240" w:after="240"/>
        <w:ind w:left="360"/>
        <w:contextualSpacing/>
        <w:rPr>
          <w:rFonts w:ascii="Arial" w:eastAsia="Times New Roman" w:hAnsi="Arial" w:cs="Arial"/>
          <w:sz w:val="20"/>
          <w:szCs w:val="20"/>
          <w:lang w:val="en" w:eastAsia="en-GB"/>
        </w:rPr>
      </w:pPr>
      <w:r w:rsidRPr="00960798">
        <w:rPr>
          <w:rFonts w:ascii="Arial" w:eastAsia="Times New Roman" w:hAnsi="Arial" w:cs="Arial"/>
          <w:sz w:val="20"/>
          <w:szCs w:val="20"/>
          <w:lang w:val="en" w:eastAsia="en-GB"/>
        </w:rPr>
        <w:t xml:space="preserve">Ensuring demonstrable compliance with enhanced requirements for transparency and </w:t>
      </w:r>
      <w:hyperlink r:id="rId8" w:history="1">
        <w:r w:rsidRPr="00960798">
          <w:rPr>
            <w:rStyle w:val="Hyperlink"/>
            <w:rFonts w:ascii="Arial" w:eastAsia="Times New Roman" w:hAnsi="Arial" w:cs="Arial"/>
            <w:color w:val="auto"/>
            <w:sz w:val="20"/>
            <w:szCs w:val="20"/>
            <w:lang w:val="en" w:eastAsia="en-GB"/>
          </w:rPr>
          <w:t>fair processing</w:t>
        </w:r>
      </w:hyperlink>
      <w:r w:rsidRPr="00960798">
        <w:rPr>
          <w:rFonts w:ascii="Arial" w:eastAsia="Times New Roman" w:hAnsi="Arial" w:cs="Arial"/>
          <w:sz w:val="20"/>
          <w:szCs w:val="20"/>
          <w:lang w:val="en" w:eastAsia="en-GB"/>
        </w:rPr>
        <w:t>, including notification of rights</w:t>
      </w:r>
    </w:p>
    <w:p w:rsidR="00960798" w:rsidRPr="00960798" w:rsidRDefault="00960798" w:rsidP="00960798">
      <w:pPr>
        <w:numPr>
          <w:ilvl w:val="0"/>
          <w:numId w:val="1"/>
        </w:numPr>
        <w:spacing w:before="240" w:after="240"/>
        <w:ind w:left="360"/>
        <w:contextualSpacing/>
        <w:rPr>
          <w:rFonts w:ascii="Arial" w:eastAsia="Times New Roman" w:hAnsi="Arial" w:cs="Arial"/>
          <w:sz w:val="20"/>
          <w:szCs w:val="20"/>
          <w:lang w:val="en" w:eastAsia="en-GB"/>
        </w:rPr>
      </w:pPr>
      <w:r w:rsidRPr="00960798">
        <w:rPr>
          <w:rFonts w:ascii="Arial" w:eastAsia="Times New Roman" w:hAnsi="Arial" w:cs="Arial"/>
          <w:sz w:val="20"/>
          <w:szCs w:val="20"/>
          <w:lang w:val="en" w:eastAsia="en-GB"/>
        </w:rPr>
        <w:t>Ensuring that data subjects’ rights are respected. This includes the provision of copies of information held by the Trust, rights to rectification, erasure, to restrict processing, data portability, to object, and to prevent automated decision making.</w:t>
      </w:r>
    </w:p>
    <w:p w:rsidR="00960798" w:rsidRPr="00960798" w:rsidRDefault="00960798" w:rsidP="00960798">
      <w:pPr>
        <w:numPr>
          <w:ilvl w:val="0"/>
          <w:numId w:val="1"/>
        </w:numPr>
        <w:spacing w:before="240" w:after="240"/>
        <w:ind w:left="360"/>
        <w:contextualSpacing/>
        <w:rPr>
          <w:rFonts w:ascii="Arial" w:eastAsia="Times New Roman" w:hAnsi="Arial" w:cs="Arial"/>
          <w:sz w:val="20"/>
          <w:szCs w:val="20"/>
          <w:lang w:val="en" w:eastAsia="en-GB"/>
        </w:rPr>
      </w:pPr>
      <w:r w:rsidRPr="00960798">
        <w:rPr>
          <w:rFonts w:ascii="Arial" w:eastAsia="Times New Roman" w:hAnsi="Arial" w:cs="Arial"/>
          <w:sz w:val="20"/>
          <w:szCs w:val="20"/>
          <w:lang w:val="en" w:eastAsia="en-GB"/>
        </w:rPr>
        <w:t>Notification of personal data security breaches to the Information Commissioner</w:t>
      </w:r>
    </w:p>
    <w:p w:rsidR="00960798" w:rsidRPr="00960798" w:rsidRDefault="00960798" w:rsidP="00960798">
      <w:pPr>
        <w:numPr>
          <w:ilvl w:val="0"/>
          <w:numId w:val="1"/>
        </w:numPr>
        <w:spacing w:before="240" w:after="240"/>
        <w:ind w:left="360"/>
        <w:contextualSpacing/>
        <w:rPr>
          <w:rFonts w:ascii="Arial" w:eastAsia="Times New Roman" w:hAnsi="Arial" w:cs="Arial"/>
          <w:sz w:val="20"/>
          <w:szCs w:val="20"/>
          <w:lang w:val="en" w:eastAsia="en-GB"/>
        </w:rPr>
      </w:pPr>
      <w:r w:rsidRPr="00960798">
        <w:rPr>
          <w:rFonts w:ascii="Arial" w:eastAsia="Times New Roman" w:hAnsi="Arial" w:cs="Arial"/>
          <w:sz w:val="20"/>
          <w:szCs w:val="20"/>
          <w:lang w:val="en" w:eastAsia="en-GB"/>
        </w:rPr>
        <w:t>The appointment of a suitably qualified and experienced Data Protection Officer</w:t>
      </w:r>
    </w:p>
    <w:p w:rsidR="00960798" w:rsidRPr="00960798" w:rsidRDefault="00960798" w:rsidP="00960798">
      <w:pPr>
        <w:spacing w:before="240" w:after="240"/>
        <w:rPr>
          <w:rFonts w:ascii="Arial" w:hAnsi="Arial" w:cs="Arial"/>
          <w:sz w:val="20"/>
          <w:szCs w:val="20"/>
          <w:lang w:val="en" w:eastAsia="en-GB"/>
        </w:rPr>
      </w:pPr>
    </w:p>
    <w:p w:rsidR="00960798" w:rsidRPr="00960798" w:rsidRDefault="00960798" w:rsidP="00960798">
      <w:pPr>
        <w:spacing w:before="240" w:after="240"/>
        <w:rPr>
          <w:rFonts w:ascii="Arial" w:hAnsi="Arial" w:cs="Arial"/>
          <w:sz w:val="20"/>
          <w:szCs w:val="20"/>
          <w:lang w:val="en" w:eastAsia="en-GB"/>
        </w:rPr>
      </w:pPr>
      <w:r w:rsidRPr="00960798">
        <w:rPr>
          <w:rFonts w:ascii="Arial" w:hAnsi="Arial" w:cs="Arial"/>
          <w:sz w:val="20"/>
          <w:szCs w:val="20"/>
          <w:lang w:val="en" w:eastAsia="en-GB"/>
        </w:rPr>
        <w:t xml:space="preserve">The GDPR and the new UK Data Protection Act 2018, requires us to take specified actions, and have evidence to demonstrate that we have done so. </w:t>
      </w:r>
    </w:p>
    <w:p w:rsidR="00960798" w:rsidRPr="00960798" w:rsidRDefault="00960798" w:rsidP="00960798">
      <w:pPr>
        <w:spacing w:before="240" w:after="240"/>
        <w:rPr>
          <w:rFonts w:ascii="Arial" w:hAnsi="Arial" w:cs="Arial"/>
          <w:sz w:val="20"/>
          <w:szCs w:val="20"/>
          <w:lang w:val="en" w:eastAsia="en-GB"/>
        </w:rPr>
      </w:pPr>
      <w:r w:rsidRPr="00960798">
        <w:rPr>
          <w:rFonts w:ascii="Arial" w:hAnsi="Arial" w:cs="Arial"/>
          <w:sz w:val="20"/>
          <w:szCs w:val="20"/>
          <w:lang w:val="en" w:eastAsia="en-GB"/>
        </w:rPr>
        <w:t>The Trust must comply with the new law and in many areas its “spirit” of transparency and openness. At this time the Trust are working extensively to support implementation of the new Data Protection Legislation, but have recognized that across our services we have some areas where we are unable to comply at this time (based around technical capabilities of our systems and procedures) but continue to seek solutions to do</w:t>
      </w:r>
      <w:r w:rsidRPr="00960798">
        <w:rPr>
          <w:rFonts w:ascii="Arial" w:hAnsi="Arial" w:cs="Arial"/>
          <w:sz w:val="20"/>
          <w:szCs w:val="20"/>
          <w:lang w:val="en" w:eastAsia="en-GB"/>
        </w:rPr>
        <w:t xml:space="preserve"> this within reasonable time. </w:t>
      </w:r>
    </w:p>
    <w:p w:rsidR="00960798" w:rsidRPr="00960798" w:rsidRDefault="00960798" w:rsidP="00960798">
      <w:pPr>
        <w:spacing w:before="240" w:after="240"/>
        <w:rPr>
          <w:rFonts w:ascii="Arial" w:hAnsi="Arial" w:cs="Arial"/>
          <w:sz w:val="20"/>
          <w:szCs w:val="20"/>
          <w:lang w:val="en" w:eastAsia="en-GB"/>
        </w:rPr>
      </w:pPr>
      <w:r w:rsidRPr="00960798">
        <w:rPr>
          <w:rFonts w:ascii="Arial" w:hAnsi="Arial" w:cs="Arial"/>
          <w:sz w:val="20"/>
          <w:szCs w:val="20"/>
          <w:lang w:val="en" w:eastAsia="en-GB"/>
        </w:rPr>
        <w:t>I</w:t>
      </w:r>
      <w:r w:rsidRPr="00960798">
        <w:rPr>
          <w:rFonts w:ascii="Arial" w:hAnsi="Arial" w:cs="Arial"/>
          <w:sz w:val="20"/>
          <w:szCs w:val="20"/>
          <w:lang w:val="en" w:eastAsia="en-GB"/>
        </w:rPr>
        <w:t>f you have any questions relating to GDPR and the Trust please conta</w:t>
      </w:r>
      <w:r>
        <w:rPr>
          <w:rFonts w:ascii="Arial" w:hAnsi="Arial" w:cs="Arial"/>
          <w:sz w:val="20"/>
          <w:szCs w:val="20"/>
          <w:lang w:val="en" w:eastAsia="en-GB"/>
        </w:rPr>
        <w:t>ct our Data Protection Officer </w:t>
      </w:r>
      <w:r w:rsidRPr="00960798">
        <w:rPr>
          <w:rFonts w:ascii="Arial" w:hAnsi="Arial" w:cs="Arial"/>
          <w:sz w:val="20"/>
          <w:szCs w:val="20"/>
          <w:lang w:val="en" w:eastAsia="en-GB"/>
        </w:rPr>
        <w:t xml:space="preserve">at </w:t>
      </w:r>
      <w:hyperlink r:id="rId9" w:history="1">
        <w:r w:rsidRPr="00960798">
          <w:rPr>
            <w:rStyle w:val="Hyperlink"/>
            <w:rFonts w:ascii="Arial" w:hAnsi="Arial" w:cs="Arial"/>
            <w:color w:val="auto"/>
            <w:sz w:val="20"/>
            <w:szCs w:val="20"/>
            <w:lang w:val="en" w:eastAsia="en-GB"/>
          </w:rPr>
          <w:t>kch-tr.dpo@nhs.net</w:t>
        </w:r>
      </w:hyperlink>
      <w:r w:rsidRPr="00960798">
        <w:rPr>
          <w:rFonts w:ascii="Arial" w:hAnsi="Arial" w:cs="Arial"/>
          <w:sz w:val="20"/>
          <w:szCs w:val="20"/>
          <w:lang w:val="en" w:eastAsia="en-GB"/>
        </w:rPr>
        <w:t xml:space="preserve"> for support and advice.</w:t>
      </w:r>
    </w:p>
    <w:p w:rsidR="00CC4366" w:rsidRPr="00960798" w:rsidRDefault="00CC4366"/>
    <w:sectPr w:rsidR="00CC4366" w:rsidRPr="00960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D55"/>
    <w:multiLevelType w:val="multilevel"/>
    <w:tmpl w:val="7B3AC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98"/>
    <w:rsid w:val="00960798"/>
    <w:rsid w:val="00CC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7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h.nhs.uk/Doc/mi%20-%20160.1%20-%20your%20nhs%20health%20records.pdf" TargetMode="External"/><Relationship Id="rId3" Type="http://schemas.microsoft.com/office/2007/relationships/stylesWithEffects" Target="stylesWithEffects.xml"/><Relationship Id="rId7" Type="http://schemas.openxmlformats.org/officeDocument/2006/relationships/hyperlink" Target="http://www.legislation.gov.uk/ukpga/2018/12/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h-tr.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Bui-Van, Sao</dc:creator>
  <cp:lastModifiedBy>Bui-Van, Sao</cp:lastModifiedBy>
  <cp:revision>1</cp:revision>
  <dcterms:created xsi:type="dcterms:W3CDTF">2018-05-25T12:26:00Z</dcterms:created>
  <dcterms:modified xsi:type="dcterms:W3CDTF">2018-05-25T12:30:00Z</dcterms:modified>
</cp:coreProperties>
</file>